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C9" w:rsidRPr="002338C9" w:rsidRDefault="002338C9" w:rsidP="002338C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338C9">
        <w:rPr>
          <w:rFonts w:ascii="標楷體" w:eastAsia="標楷體" w:hAnsi="標楷體" w:hint="eastAsia"/>
          <w:b/>
          <w:sz w:val="32"/>
          <w:szCs w:val="32"/>
        </w:rPr>
        <w:t>108學年度教育部國民及學前教育署課程推動工作</w:t>
      </w:r>
    </w:p>
    <w:p w:rsidR="002338C9" w:rsidRPr="00164586" w:rsidRDefault="002338C9" w:rsidP="002338C9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16458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課程與教學輔導組</w:t>
      </w:r>
      <w:r w:rsidRPr="00164586">
        <w:rPr>
          <w:rFonts w:ascii="標楷體" w:eastAsia="標楷體" w:hAnsi="標楷體"/>
          <w:b/>
          <w:bCs/>
          <w:color w:val="000000"/>
          <w:sz w:val="32"/>
          <w:szCs w:val="32"/>
        </w:rPr>
        <w:t>-</w:t>
      </w:r>
      <w:r w:rsidRPr="00164586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社會領域輔導群</w:t>
      </w:r>
    </w:p>
    <w:p w:rsidR="002338C9" w:rsidRPr="00164586" w:rsidRDefault="002338C9" w:rsidP="002338C9">
      <w:pPr>
        <w:spacing w:line="40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164586">
        <w:rPr>
          <w:rFonts w:ascii="標楷體" w:eastAsia="標楷體" w:hAnsi="標楷體"/>
          <w:b/>
          <w:bCs/>
          <w:color w:val="000000"/>
          <w:sz w:val="32"/>
          <w:szCs w:val="32"/>
        </w:rPr>
        <w:t>「委</w:t>
      </w:r>
      <w:bookmarkStart w:id="0" w:name="_GoBack"/>
      <w:bookmarkEnd w:id="0"/>
      <w:r w:rsidRPr="00164586">
        <w:rPr>
          <w:rFonts w:ascii="標楷體" w:eastAsia="標楷體" w:hAnsi="標楷體"/>
          <w:b/>
          <w:bCs/>
          <w:color w:val="000000"/>
          <w:sz w:val="32"/>
          <w:szCs w:val="32"/>
        </w:rPr>
        <w:t>員增能活動」計畫</w:t>
      </w:r>
    </w:p>
    <w:p w:rsidR="002338C9" w:rsidRPr="00164586" w:rsidRDefault="002338C9" w:rsidP="002338C9">
      <w:pPr>
        <w:snapToGrid w:val="0"/>
        <w:spacing w:beforeLines="20" w:before="72" w:afterLines="20" w:after="72" w:line="340" w:lineRule="exact"/>
        <w:rPr>
          <w:rFonts w:ascii="標楷體" w:eastAsia="標楷體" w:hAnsi="標楷體"/>
          <w:b/>
          <w:color w:val="000000"/>
          <w:sz w:val="28"/>
        </w:rPr>
      </w:pPr>
      <w:r w:rsidRPr="00164586">
        <w:rPr>
          <w:rFonts w:ascii="標楷體" w:eastAsia="標楷體" w:hAnsi="標楷體" w:hint="eastAsia"/>
          <w:b/>
          <w:color w:val="000000"/>
          <w:sz w:val="28"/>
        </w:rPr>
        <w:t>壹、依據</w:t>
      </w:r>
    </w:p>
    <w:p w:rsidR="002338C9" w:rsidRPr="00164586" w:rsidRDefault="002338C9" w:rsidP="002338C9">
      <w:pPr>
        <w:snapToGrid w:val="0"/>
        <w:spacing w:line="400" w:lineRule="exact"/>
        <w:ind w:leftChars="100" w:left="800" w:hangingChars="200" w:hanging="560"/>
        <w:rPr>
          <w:rFonts w:ascii="標楷體" w:eastAsia="標楷體" w:hAnsi="標楷體"/>
          <w:color w:val="000000"/>
          <w:sz w:val="28"/>
        </w:rPr>
      </w:pPr>
      <w:r w:rsidRPr="00164586">
        <w:rPr>
          <w:rFonts w:ascii="標楷體" w:eastAsia="標楷體" w:hAnsi="標楷體" w:hint="eastAsia"/>
          <w:color w:val="000000"/>
          <w:sz w:val="28"/>
        </w:rPr>
        <w:t>一、教育部國民及學前教育署</w:t>
      </w:r>
      <w:r w:rsidRPr="00164586">
        <w:rPr>
          <w:rFonts w:ascii="標楷體" w:eastAsia="標楷體" w:hAnsi="標楷體"/>
          <w:color w:val="000000"/>
          <w:sz w:val="28"/>
        </w:rPr>
        <w:t>108</w:t>
      </w:r>
      <w:r w:rsidRPr="00164586">
        <w:rPr>
          <w:rFonts w:ascii="標楷體" w:eastAsia="標楷體" w:hAnsi="標楷體" w:hint="eastAsia"/>
          <w:color w:val="000000"/>
          <w:sz w:val="28"/>
        </w:rPr>
        <w:t>學年度輔導群配合推動主軸與規劃策略。</w:t>
      </w:r>
    </w:p>
    <w:p w:rsidR="002338C9" w:rsidRPr="00164586" w:rsidRDefault="002338C9" w:rsidP="002338C9">
      <w:pPr>
        <w:snapToGrid w:val="0"/>
        <w:spacing w:line="400" w:lineRule="exact"/>
        <w:ind w:leftChars="100" w:left="800" w:hangingChars="200" w:hanging="560"/>
        <w:rPr>
          <w:rFonts w:ascii="標楷體" w:eastAsia="標楷體" w:hAnsi="標楷體"/>
          <w:color w:val="000000"/>
          <w:sz w:val="28"/>
        </w:rPr>
      </w:pPr>
      <w:r w:rsidRPr="00164586">
        <w:rPr>
          <w:rFonts w:ascii="標楷體" w:eastAsia="標楷體" w:hAnsi="標楷體" w:hint="eastAsia"/>
          <w:color w:val="000000"/>
          <w:sz w:val="28"/>
        </w:rPr>
        <w:t>二、教育部國民及學前教育署</w:t>
      </w:r>
      <w:r w:rsidRPr="00164586">
        <w:rPr>
          <w:rFonts w:ascii="標楷體" w:eastAsia="標楷體" w:hAnsi="標楷體"/>
          <w:color w:val="000000"/>
          <w:sz w:val="28"/>
        </w:rPr>
        <w:t>10</w:t>
      </w:r>
      <w:r w:rsidRPr="00164586">
        <w:rPr>
          <w:rFonts w:ascii="標楷體" w:eastAsia="標楷體" w:hAnsi="標楷體" w:hint="eastAsia"/>
          <w:color w:val="000000"/>
          <w:sz w:val="28"/>
        </w:rPr>
        <w:t>8學年度輔導群協助納入計畫辦理或推廣之事項。</w:t>
      </w:r>
    </w:p>
    <w:p w:rsidR="002338C9" w:rsidRPr="00164586" w:rsidRDefault="002338C9" w:rsidP="002338C9">
      <w:pPr>
        <w:spacing w:line="400" w:lineRule="exact"/>
        <w:ind w:leftChars="100" w:left="800" w:hangingChars="200" w:hanging="560"/>
        <w:jc w:val="both"/>
        <w:rPr>
          <w:rFonts w:ascii="標楷體" w:eastAsia="標楷體" w:hAnsi="標楷體"/>
          <w:color w:val="000000"/>
          <w:sz w:val="28"/>
        </w:rPr>
      </w:pPr>
      <w:r w:rsidRPr="00164586">
        <w:rPr>
          <w:rFonts w:ascii="標楷體" w:eastAsia="標楷體" w:hAnsi="標楷體" w:hint="eastAsia"/>
          <w:color w:val="000000"/>
          <w:sz w:val="28"/>
        </w:rPr>
        <w:t>三、教育部國民及學前教育署</w:t>
      </w:r>
      <w:r w:rsidRPr="00164586">
        <w:rPr>
          <w:rFonts w:ascii="標楷體" w:eastAsia="標楷體" w:hAnsi="標楷體"/>
          <w:color w:val="000000"/>
          <w:sz w:val="28"/>
        </w:rPr>
        <w:t>108</w:t>
      </w:r>
      <w:r w:rsidRPr="00164586">
        <w:rPr>
          <w:rFonts w:ascii="標楷體" w:eastAsia="標楷體" w:hAnsi="標楷體" w:hint="eastAsia"/>
          <w:color w:val="000000"/>
          <w:sz w:val="28"/>
        </w:rPr>
        <w:t>學年度國民中小學課程推動工作「課程與教學輔導組」社會領域輔導群業務實施計畫。</w:t>
      </w:r>
    </w:p>
    <w:p w:rsidR="002338C9" w:rsidRPr="00164586" w:rsidRDefault="002338C9" w:rsidP="002338C9">
      <w:pPr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color w:val="000000"/>
          <w:sz w:val="28"/>
        </w:rPr>
      </w:pPr>
      <w:r w:rsidRPr="00164586">
        <w:rPr>
          <w:rFonts w:ascii="標楷體" w:eastAsia="標楷體" w:hAnsi="標楷體" w:hint="eastAsia"/>
          <w:b/>
          <w:color w:val="000000"/>
          <w:sz w:val="28"/>
        </w:rPr>
        <w:t>貳</w:t>
      </w:r>
      <w:r w:rsidRPr="00164586">
        <w:rPr>
          <w:rFonts w:ascii="標楷體" w:eastAsia="標楷體" w:hAnsi="標楷體"/>
          <w:b/>
          <w:color w:val="000000"/>
          <w:sz w:val="28"/>
        </w:rPr>
        <w:t>、計畫內涵</w:t>
      </w:r>
    </w:p>
    <w:p w:rsidR="002338C9" w:rsidRPr="00164586" w:rsidRDefault="002338C9" w:rsidP="002338C9">
      <w:pPr>
        <w:snapToGrid w:val="0"/>
        <w:spacing w:line="40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164586">
        <w:rPr>
          <w:rFonts w:ascii="標楷體" w:eastAsia="標楷體" w:hAnsi="標楷體"/>
          <w:color w:val="000000"/>
        </w:rPr>
        <w:t>本學年度預計進行的增能計畫項目，</w:t>
      </w:r>
      <w:r w:rsidRPr="00164586">
        <w:rPr>
          <w:rFonts w:ascii="標楷體" w:eastAsia="標楷體" w:hAnsi="標楷體" w:hint="eastAsia"/>
          <w:color w:val="000000"/>
        </w:rPr>
        <w:t>依《教育部國民及學前教育署108學年度輔導群協助納入計畫辦理或推廣之事項》，以「</w:t>
      </w:r>
      <w:proofErr w:type="gramStart"/>
      <w:r w:rsidRPr="00164586">
        <w:rPr>
          <w:rFonts w:ascii="標楷體" w:eastAsia="標楷體" w:hAnsi="標楷體" w:hint="eastAsia"/>
          <w:color w:val="000000"/>
        </w:rPr>
        <w:t>媒體識讀教育</w:t>
      </w:r>
      <w:proofErr w:type="gramEnd"/>
      <w:r w:rsidRPr="00164586">
        <w:rPr>
          <w:rFonts w:ascii="標楷體" w:eastAsia="標楷體" w:hAnsi="標楷體" w:hint="eastAsia"/>
          <w:color w:val="000000"/>
        </w:rPr>
        <w:t>」與「公民投票教育」為主軸。透過增能研習，</w:t>
      </w:r>
      <w:r w:rsidRPr="00164586">
        <w:rPr>
          <w:rFonts w:ascii="標楷體" w:eastAsia="標楷體" w:hAnsi="標楷體"/>
          <w:color w:val="000000"/>
        </w:rPr>
        <w:t>了解</w:t>
      </w:r>
      <w:r w:rsidRPr="00164586">
        <w:rPr>
          <w:rFonts w:ascii="標楷體" w:eastAsia="標楷體" w:hAnsi="標楷體" w:hint="eastAsia"/>
          <w:color w:val="000000"/>
        </w:rPr>
        <w:t>「</w:t>
      </w:r>
      <w:proofErr w:type="gramStart"/>
      <w:r w:rsidRPr="00164586">
        <w:rPr>
          <w:rFonts w:ascii="標楷體" w:eastAsia="標楷體" w:hAnsi="標楷體" w:hint="eastAsia"/>
          <w:color w:val="000000"/>
        </w:rPr>
        <w:t>媒體識讀教育</w:t>
      </w:r>
      <w:proofErr w:type="gramEnd"/>
      <w:r w:rsidRPr="00164586">
        <w:rPr>
          <w:rFonts w:ascii="標楷體" w:eastAsia="標楷體" w:hAnsi="標楷體" w:hint="eastAsia"/>
          <w:color w:val="000000"/>
        </w:rPr>
        <w:t>」與「公民投票教育」在社會領域教學上如何切入並掌握重點，以</w:t>
      </w:r>
      <w:proofErr w:type="gramStart"/>
      <w:r w:rsidRPr="00164586">
        <w:rPr>
          <w:rFonts w:ascii="標楷體" w:eastAsia="標楷體" w:hAnsi="標楷體" w:hint="eastAsia"/>
          <w:color w:val="000000"/>
        </w:rPr>
        <w:t>呼應課綱之</w:t>
      </w:r>
      <w:proofErr w:type="gramEnd"/>
      <w:r w:rsidRPr="00164586">
        <w:rPr>
          <w:rFonts w:ascii="標楷體" w:eastAsia="標楷體" w:hAnsi="標楷體" w:hint="eastAsia"/>
          <w:color w:val="000000"/>
        </w:rPr>
        <w:t>精神及養成公民素養之目標；透過實例、相關素材與分享，引導思考如何融入實際教學的方式，進而建置更易於運用於教學現場的資源。</w:t>
      </w:r>
    </w:p>
    <w:p w:rsidR="002338C9" w:rsidRPr="00164586" w:rsidRDefault="002338C9" w:rsidP="002338C9">
      <w:pPr>
        <w:snapToGrid w:val="0"/>
        <w:spacing w:beforeLines="25" w:before="90" w:afterLines="25" w:after="9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64586">
        <w:rPr>
          <w:rFonts w:ascii="標楷體" w:eastAsia="標楷體" w:hAnsi="標楷體" w:hint="eastAsia"/>
          <w:color w:val="000000"/>
          <w:sz w:val="28"/>
        </w:rPr>
        <w:t>一、「媒體素養」教育融入社會領域課程之策略與實踐</w:t>
      </w:r>
    </w:p>
    <w:p w:rsidR="002338C9" w:rsidRPr="00164586" w:rsidRDefault="002338C9" w:rsidP="002338C9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164586">
        <w:rPr>
          <w:rFonts w:ascii="標楷體" w:eastAsia="標楷體" w:hAnsi="標楷體" w:hint="eastAsia"/>
          <w:color w:val="000000"/>
        </w:rPr>
        <w:t xml:space="preserve"> </w:t>
      </w:r>
      <w:r w:rsidRPr="00164586">
        <w:rPr>
          <w:rFonts w:ascii="標楷體" w:eastAsia="標楷體" w:hAnsi="標楷體"/>
          <w:color w:val="000000"/>
        </w:rPr>
        <w:t xml:space="preserve">   </w:t>
      </w:r>
      <w:r w:rsidRPr="00164586">
        <w:rPr>
          <w:rFonts w:ascii="標楷體" w:eastAsia="標楷體" w:hAnsi="標楷體" w:hint="eastAsia"/>
          <w:color w:val="000000"/>
        </w:rPr>
        <w:t>傳播媒體是傳遞訊息的媒介，訊息在傳遞給閱聽人之前大多已經過選擇與編輯，並非完全的客觀與中立，其內容可能隱含良善的價值觀，但也可能加深種族、性別、年齡的刻板印象，所以學習如何使用媒體而非受制於媒體，</w:t>
      </w:r>
      <w:proofErr w:type="gramStart"/>
      <w:r w:rsidRPr="00164586">
        <w:rPr>
          <w:rFonts w:ascii="標楷體" w:eastAsia="標楷體" w:hAnsi="標楷體" w:hint="eastAsia"/>
          <w:color w:val="000000"/>
        </w:rPr>
        <w:t>是閱聽</w:t>
      </w:r>
      <w:proofErr w:type="gramEnd"/>
      <w:r w:rsidRPr="00164586">
        <w:rPr>
          <w:rFonts w:ascii="標楷體" w:eastAsia="標楷體" w:hAnsi="標楷體" w:hint="eastAsia"/>
          <w:color w:val="000000"/>
        </w:rPr>
        <w:t>人的重要課題</w:t>
      </w:r>
    </w:p>
    <w:p w:rsidR="002338C9" w:rsidRPr="00164586" w:rsidRDefault="002338C9" w:rsidP="002338C9">
      <w:pPr>
        <w:tabs>
          <w:tab w:val="left" w:pos="567"/>
        </w:tabs>
        <w:snapToGrid w:val="0"/>
        <w:spacing w:afterLines="20" w:after="72" w:line="40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164586">
        <w:rPr>
          <w:rFonts w:ascii="標楷體" w:eastAsia="標楷體" w:hAnsi="標楷體" w:hint="eastAsia"/>
          <w:color w:val="000000"/>
        </w:rPr>
        <w:t>「媒體素養」是十二年國教</w:t>
      </w:r>
      <w:r w:rsidRPr="00164586">
        <w:rPr>
          <w:rFonts w:ascii="標楷體" w:eastAsia="標楷體" w:hAnsi="標楷體"/>
          <w:color w:val="000000"/>
        </w:rPr>
        <w:t>《總綱》</w:t>
      </w:r>
      <w:r w:rsidRPr="00164586">
        <w:rPr>
          <w:rFonts w:ascii="標楷體" w:eastAsia="標楷體" w:hAnsi="標楷體" w:hint="eastAsia"/>
          <w:color w:val="000000"/>
        </w:rPr>
        <w:t>所揭</w:t>
      </w:r>
      <w:proofErr w:type="gramStart"/>
      <w:r w:rsidRPr="00164586">
        <w:rPr>
          <w:rFonts w:ascii="標楷體" w:eastAsia="標楷體" w:hAnsi="標楷體" w:hint="eastAsia"/>
          <w:color w:val="000000"/>
        </w:rPr>
        <w:t>櫫</w:t>
      </w:r>
      <w:proofErr w:type="gramEnd"/>
      <w:r w:rsidRPr="00164586">
        <w:rPr>
          <w:rFonts w:ascii="標楷體" w:eastAsia="標楷體" w:hAnsi="標楷體" w:hint="eastAsia"/>
          <w:color w:val="000000"/>
        </w:rPr>
        <w:t>的核心素養。</w:t>
      </w:r>
      <w:r w:rsidRPr="00164586">
        <w:rPr>
          <w:rFonts w:ascii="標楷體" w:eastAsia="標楷體" w:hAnsi="標楷體"/>
          <w:color w:val="000000"/>
        </w:rPr>
        <w:t>各教育階段核心素養之具體內涵，結合社會領域之基本理念與課程目標，</w:t>
      </w:r>
      <w:r w:rsidRPr="00164586">
        <w:rPr>
          <w:rFonts w:ascii="標楷體" w:eastAsia="標楷體" w:hAnsi="標楷體" w:hint="eastAsia"/>
          <w:color w:val="000000"/>
        </w:rPr>
        <w:t>所訂定各教育階段「媒體素養」之核心素養具體內涵如下：</w:t>
      </w:r>
      <w:r w:rsidRPr="00164586">
        <w:rPr>
          <w:rFonts w:ascii="標楷體" w:eastAsia="標楷體" w:hAnsi="標楷體"/>
          <w:color w:val="00000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1307"/>
        <w:gridCol w:w="1740"/>
        <w:gridCol w:w="2028"/>
        <w:gridCol w:w="1884"/>
        <w:gridCol w:w="2170"/>
      </w:tblGrid>
      <w:tr w:rsidR="002338C9" w:rsidRPr="002B1CF5" w:rsidTr="00416C47">
        <w:trPr>
          <w:trHeight w:val="20"/>
          <w:tblHeader/>
          <w:jc w:val="center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總綱核心素養面向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總綱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核心素養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項目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 w:hint="eastAsia"/>
                <w:b/>
                <w:color w:val="000000"/>
              </w:rPr>
              <w:t>總綱核心素養</w:t>
            </w:r>
            <w:r w:rsidRPr="00164586">
              <w:rPr>
                <w:rFonts w:ascii="標楷體" w:eastAsia="標楷體" w:hAnsi="標楷體"/>
                <w:b/>
                <w:color w:val="000000"/>
              </w:rPr>
              <w:t>項目說明</w:t>
            </w:r>
          </w:p>
        </w:tc>
        <w:tc>
          <w:tcPr>
            <w:tcW w:w="3086" w:type="pct"/>
            <w:gridSpan w:val="3"/>
            <w:shd w:val="clear" w:color="auto" w:fill="auto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社會領域核心素養具體內涵</w:t>
            </w:r>
          </w:p>
        </w:tc>
      </w:tr>
      <w:tr w:rsidR="002338C9" w:rsidRPr="002B1CF5" w:rsidTr="00416C47">
        <w:trPr>
          <w:trHeight w:val="20"/>
          <w:tblHeader/>
          <w:jc w:val="center"/>
        </w:trPr>
        <w:tc>
          <w:tcPr>
            <w:tcW w:w="368" w:type="pct"/>
            <w:vMerge/>
            <w:shd w:val="clear" w:color="auto" w:fill="auto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國民小學教育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（E）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國民中學教育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（J）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高級中等</w:t>
            </w:r>
            <w:r w:rsidRPr="00164586">
              <w:rPr>
                <w:rFonts w:ascii="標楷體" w:eastAsia="標楷體" w:hAnsi="標楷體"/>
                <w:b/>
                <w:color w:val="000000"/>
                <w:w w:val="90"/>
              </w:rPr>
              <w:t>學校教育</w:t>
            </w:r>
            <w:r w:rsidRPr="00164586">
              <w:rPr>
                <w:rFonts w:ascii="標楷體" w:eastAsia="標楷體" w:hAnsi="標楷體"/>
                <w:b/>
                <w:color w:val="000000"/>
              </w:rPr>
              <w:t>（U）</w:t>
            </w:r>
          </w:p>
        </w:tc>
      </w:tr>
      <w:tr w:rsidR="002338C9" w:rsidRPr="002B1CF5" w:rsidTr="00416C47">
        <w:trPr>
          <w:trHeight w:val="20"/>
          <w:jc w:val="center"/>
        </w:trPr>
        <w:tc>
          <w:tcPr>
            <w:tcW w:w="368" w:type="pct"/>
            <w:vMerge/>
            <w:shd w:val="clear" w:color="auto" w:fill="auto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B2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科技資訊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與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媒體素養</w:t>
            </w:r>
          </w:p>
        </w:tc>
        <w:tc>
          <w:tcPr>
            <w:tcW w:w="883" w:type="pct"/>
            <w:shd w:val="clear" w:color="auto" w:fill="auto"/>
          </w:tcPr>
          <w:p w:rsidR="002338C9" w:rsidRPr="00164586" w:rsidRDefault="002338C9" w:rsidP="00416C47">
            <w:pPr>
              <w:autoSpaceDE w:val="0"/>
              <w:autoSpaceDN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具備善用科技、資訊與各類媒體之能力，培養相關倫理及</w:t>
            </w:r>
            <w:proofErr w:type="gramStart"/>
            <w:r w:rsidRPr="00164586">
              <w:rPr>
                <w:rFonts w:ascii="標楷體" w:eastAsia="標楷體" w:hAnsi="標楷體"/>
                <w:color w:val="000000"/>
              </w:rPr>
              <w:t>媒體識讀的</w:t>
            </w:r>
            <w:proofErr w:type="gramEnd"/>
            <w:r w:rsidRPr="00164586">
              <w:rPr>
                <w:rFonts w:ascii="標楷體" w:eastAsia="標楷體" w:hAnsi="標楷體"/>
                <w:color w:val="000000"/>
              </w:rPr>
              <w:t>素養，</w:t>
            </w:r>
            <w:proofErr w:type="gramStart"/>
            <w:r w:rsidRPr="00164586">
              <w:rPr>
                <w:rFonts w:ascii="標楷體" w:eastAsia="標楷體" w:hAnsi="標楷體"/>
                <w:color w:val="000000"/>
              </w:rPr>
              <w:t>俾</w:t>
            </w:r>
            <w:proofErr w:type="gramEnd"/>
            <w:r w:rsidRPr="00164586">
              <w:rPr>
                <w:rFonts w:ascii="標楷體" w:eastAsia="標楷體" w:hAnsi="標楷體"/>
                <w:color w:val="000000"/>
              </w:rPr>
              <w:t>能分析、思辨、批判人與科技、資訊及</w:t>
            </w:r>
            <w:r w:rsidRPr="00164586">
              <w:rPr>
                <w:rFonts w:ascii="標楷體" w:eastAsia="標楷體" w:hAnsi="標楷體"/>
                <w:color w:val="000000"/>
              </w:rPr>
              <w:lastRenderedPageBreak/>
              <w:t>媒體之關係。</w:t>
            </w:r>
          </w:p>
        </w:tc>
        <w:tc>
          <w:tcPr>
            <w:tcW w:w="1029" w:type="pct"/>
            <w:shd w:val="clear" w:color="auto" w:fill="auto"/>
          </w:tcPr>
          <w:p w:rsidR="002338C9" w:rsidRPr="00164586" w:rsidRDefault="002338C9" w:rsidP="00416C47">
            <w:pPr>
              <w:autoSpaceDE w:val="0"/>
              <w:autoSpaceDN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lastRenderedPageBreak/>
              <w:t>社-E-B2</w:t>
            </w:r>
          </w:p>
          <w:p w:rsidR="002338C9" w:rsidRPr="00164586" w:rsidRDefault="002338C9" w:rsidP="00416C47">
            <w:pPr>
              <w:autoSpaceDE w:val="0"/>
              <w:autoSpaceDN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認識與運用科技、資訊及媒體，並探究其與人類社會價值、信仰及態度的關聯。</w:t>
            </w:r>
          </w:p>
        </w:tc>
        <w:tc>
          <w:tcPr>
            <w:tcW w:w="956" w:type="pct"/>
            <w:shd w:val="clear" w:color="auto" w:fill="auto"/>
          </w:tcPr>
          <w:p w:rsidR="002338C9" w:rsidRPr="00164586" w:rsidRDefault="002338C9" w:rsidP="00416C47">
            <w:pPr>
              <w:autoSpaceDE w:val="0"/>
              <w:autoSpaceDN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社-J-B2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理解不同時空的科技與媒體發展和應用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，增進</w:t>
            </w:r>
            <w:proofErr w:type="gramStart"/>
            <w:r w:rsidRPr="00164586">
              <w:rPr>
                <w:rFonts w:ascii="標楷體" w:eastAsia="標楷體" w:hAnsi="標楷體" w:hint="eastAsia"/>
                <w:color w:val="000000"/>
              </w:rPr>
              <w:t>媒體識讀能力</w:t>
            </w:r>
            <w:proofErr w:type="gramEnd"/>
            <w:r w:rsidRPr="00164586">
              <w:rPr>
                <w:rFonts w:ascii="標楷體" w:eastAsia="標楷體" w:hAnsi="標楷體"/>
                <w:color w:val="000000"/>
              </w:rPr>
              <w:t>，並思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辨</w:t>
            </w:r>
            <w:r w:rsidRPr="00164586">
              <w:rPr>
                <w:rFonts w:ascii="標楷體" w:eastAsia="標楷體" w:hAnsi="標楷體"/>
                <w:color w:val="000000"/>
              </w:rPr>
              <w:t>其在生活中可能帶來的衝突與影響。</w:t>
            </w:r>
          </w:p>
        </w:tc>
        <w:tc>
          <w:tcPr>
            <w:tcW w:w="1101" w:type="pct"/>
            <w:shd w:val="clear" w:color="auto" w:fill="auto"/>
          </w:tcPr>
          <w:p w:rsidR="002338C9" w:rsidRPr="00164586" w:rsidRDefault="002338C9" w:rsidP="00416C47">
            <w:pPr>
              <w:autoSpaceDE w:val="0"/>
              <w:autoSpaceDN w:val="0"/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社-U-B2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善用各種科技、資訊、媒體，參與公共事務或解決社會議題，並能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對</w:t>
            </w:r>
            <w:r w:rsidRPr="00164586">
              <w:rPr>
                <w:rFonts w:ascii="標楷體" w:eastAsia="標楷體" w:hAnsi="標楷體"/>
                <w:color w:val="000000"/>
              </w:rPr>
              <w:t>科技、資訊與媒體的倫理問題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進行思辨批判</w:t>
            </w:r>
            <w:r w:rsidRPr="00164586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</w:tbl>
    <w:p w:rsidR="002338C9" w:rsidRPr="00164586" w:rsidRDefault="002338C9" w:rsidP="002338C9">
      <w:pPr>
        <w:tabs>
          <w:tab w:val="left" w:pos="567"/>
        </w:tabs>
        <w:snapToGrid w:val="0"/>
        <w:spacing w:beforeLines="25" w:before="90" w:afterLines="25" w:after="90" w:line="400" w:lineRule="exact"/>
        <w:ind w:firstLineChars="236" w:firstLine="566"/>
        <w:jc w:val="both"/>
        <w:outlineLvl w:val="2"/>
        <w:rPr>
          <w:rFonts w:ascii="標楷體" w:eastAsia="標楷體" w:hAnsi="標楷體"/>
          <w:color w:val="000000"/>
        </w:rPr>
      </w:pPr>
      <w:bookmarkStart w:id="1" w:name="_Toc486413557"/>
      <w:r w:rsidRPr="00164586">
        <w:rPr>
          <w:rFonts w:ascii="標楷體" w:eastAsia="標楷體" w:hAnsi="標楷體"/>
          <w:color w:val="000000"/>
        </w:rPr>
        <w:lastRenderedPageBreak/>
        <w:t>國民小學</w:t>
      </w:r>
      <w:bookmarkEnd w:id="1"/>
      <w:r w:rsidRPr="00164586">
        <w:rPr>
          <w:rFonts w:ascii="標楷體" w:eastAsia="標楷體" w:hAnsi="標楷體" w:hint="eastAsia"/>
          <w:color w:val="000000"/>
        </w:rPr>
        <w:t>第三學習階段，與「媒體素養」有關之學習表現：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019"/>
        <w:gridCol w:w="1192"/>
        <w:gridCol w:w="2718"/>
        <w:gridCol w:w="1110"/>
        <w:gridCol w:w="2799"/>
      </w:tblGrid>
      <w:tr w:rsidR="002338C9" w:rsidRPr="002B1CF5" w:rsidTr="00416C47">
        <w:trPr>
          <w:trHeight w:val="20"/>
          <w:tblHeader/>
        </w:trPr>
        <w:tc>
          <w:tcPr>
            <w:tcW w:w="516" w:type="pct"/>
            <w:vMerge w:val="restart"/>
            <w:shd w:val="clear" w:color="auto" w:fill="auto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構面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</w:tcPr>
          <w:p w:rsidR="002338C9" w:rsidRPr="00164586" w:rsidRDefault="002338C9" w:rsidP="00416C47">
            <w:pPr>
              <w:tabs>
                <w:tab w:val="center" w:pos="2460"/>
                <w:tab w:val="right" w:pos="4920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項目</w:t>
            </w:r>
          </w:p>
        </w:tc>
        <w:tc>
          <w:tcPr>
            <w:tcW w:w="3967" w:type="pct"/>
            <w:gridSpan w:val="4"/>
            <w:vAlign w:val="center"/>
          </w:tcPr>
          <w:p w:rsidR="002338C9" w:rsidRPr="00164586" w:rsidRDefault="002338C9" w:rsidP="00416C47">
            <w:pPr>
              <w:tabs>
                <w:tab w:val="center" w:pos="2460"/>
                <w:tab w:val="right" w:pos="4920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條目</w:t>
            </w:r>
          </w:p>
        </w:tc>
      </w:tr>
      <w:tr w:rsidR="002338C9" w:rsidRPr="002B1CF5" w:rsidTr="00416C47">
        <w:trPr>
          <w:trHeight w:val="20"/>
          <w:tblHeader/>
        </w:trPr>
        <w:tc>
          <w:tcPr>
            <w:tcW w:w="516" w:type="pct"/>
            <w:vMerge/>
            <w:shd w:val="clear" w:color="auto" w:fill="auto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2338C9" w:rsidRPr="00164586" w:rsidRDefault="002338C9" w:rsidP="00416C47">
            <w:pPr>
              <w:tabs>
                <w:tab w:val="center" w:pos="2460"/>
                <w:tab w:val="right" w:pos="4920"/>
              </w:tabs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4" w:type="pct"/>
            <w:gridSpan w:val="2"/>
            <w:vAlign w:val="center"/>
          </w:tcPr>
          <w:p w:rsidR="002338C9" w:rsidRPr="00164586" w:rsidRDefault="002338C9" w:rsidP="00416C47">
            <w:pPr>
              <w:tabs>
                <w:tab w:val="center" w:pos="2460"/>
                <w:tab w:val="right" w:pos="4920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第二學習階段</w:t>
            </w:r>
          </w:p>
        </w:tc>
        <w:tc>
          <w:tcPr>
            <w:tcW w:w="1983" w:type="pct"/>
            <w:gridSpan w:val="2"/>
            <w:vAlign w:val="center"/>
          </w:tcPr>
          <w:p w:rsidR="002338C9" w:rsidRPr="00164586" w:rsidRDefault="002338C9" w:rsidP="00416C47">
            <w:pPr>
              <w:tabs>
                <w:tab w:val="center" w:pos="2460"/>
                <w:tab w:val="right" w:pos="4920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第三學習階段</w:t>
            </w:r>
          </w:p>
        </w:tc>
      </w:tr>
      <w:tr w:rsidR="002338C9" w:rsidRPr="002B1CF5" w:rsidTr="00416C47">
        <w:trPr>
          <w:cantSplit/>
          <w:trHeight w:val="20"/>
        </w:trPr>
        <w:tc>
          <w:tcPr>
            <w:tcW w:w="516" w:type="pct"/>
            <w:vMerge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517" w:type="pct"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bCs/>
                <w:color w:val="000000"/>
                <w:kern w:val="0"/>
              </w:rPr>
              <w:t>b.資料</w:t>
            </w:r>
            <w:proofErr w:type="gramStart"/>
            <w:r w:rsidRPr="00164586">
              <w:rPr>
                <w:rFonts w:ascii="標楷體" w:eastAsia="標楷體" w:hAnsi="標楷體"/>
                <w:bCs/>
                <w:color w:val="000000"/>
                <w:kern w:val="0"/>
              </w:rPr>
              <w:t>蒐</w:t>
            </w:r>
            <w:proofErr w:type="gramEnd"/>
            <w:r w:rsidRPr="00164586">
              <w:rPr>
                <w:rFonts w:ascii="標楷體" w:eastAsia="標楷體" w:hAnsi="標楷體"/>
                <w:bCs/>
                <w:color w:val="000000"/>
                <w:kern w:val="0"/>
              </w:rPr>
              <w:t>整與應用</w:t>
            </w:r>
          </w:p>
        </w:tc>
        <w:tc>
          <w:tcPr>
            <w:tcW w:w="605" w:type="pct"/>
            <w:tcBorders>
              <w:right w:val="nil"/>
            </w:tcBorders>
          </w:tcPr>
          <w:p w:rsidR="002338C9" w:rsidRPr="00164586" w:rsidRDefault="002338C9" w:rsidP="00416C4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3b-Ⅱ-1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338C9" w:rsidRPr="00164586" w:rsidRDefault="002338C9" w:rsidP="00416C4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338C9" w:rsidRPr="00164586" w:rsidRDefault="002338C9" w:rsidP="00416C4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3b-Ⅱ-2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338C9" w:rsidRPr="00164586" w:rsidRDefault="002338C9" w:rsidP="00416C4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3b-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Ⅱ</w:t>
            </w:r>
            <w:r w:rsidRPr="00164586">
              <w:rPr>
                <w:rFonts w:ascii="標楷體" w:eastAsia="標楷體" w:hAnsi="標楷體"/>
                <w:color w:val="000000"/>
              </w:rPr>
              <w:t>-3</w:t>
            </w:r>
          </w:p>
        </w:tc>
        <w:tc>
          <w:tcPr>
            <w:tcW w:w="1379" w:type="pct"/>
            <w:tcBorders>
              <w:left w:val="nil"/>
            </w:tcBorders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透過適當的管道蒐集與學習主題相關的資料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，並判讀其正確性</w:t>
            </w:r>
            <w:r w:rsidRPr="00164586">
              <w:rPr>
                <w:rFonts w:ascii="標楷體" w:eastAsia="標楷體" w:hAnsi="標楷體"/>
                <w:color w:val="000000"/>
              </w:rPr>
              <w:t>。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摘取相關資料中的重點。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整理資料，製作成簡易的圖表，並加以說明。</w:t>
            </w:r>
          </w:p>
        </w:tc>
        <w:tc>
          <w:tcPr>
            <w:tcW w:w="563" w:type="pct"/>
            <w:tcBorders>
              <w:right w:val="nil"/>
            </w:tcBorders>
          </w:tcPr>
          <w:p w:rsidR="002338C9" w:rsidRPr="00164586" w:rsidRDefault="002338C9" w:rsidP="00416C47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3b-Ⅲ-1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338C9" w:rsidRPr="00164586" w:rsidRDefault="002338C9" w:rsidP="00416C47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338C9" w:rsidRPr="00164586" w:rsidRDefault="002338C9" w:rsidP="00416C47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338C9" w:rsidRPr="00164586" w:rsidRDefault="002338C9" w:rsidP="00416C47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3b-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Ⅲ</w:t>
            </w:r>
            <w:r w:rsidRPr="00164586">
              <w:rPr>
                <w:rFonts w:ascii="標楷體" w:eastAsia="標楷體" w:hAnsi="標楷體"/>
                <w:color w:val="000000"/>
              </w:rPr>
              <w:t>-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421" w:type="pct"/>
            <w:tcBorders>
              <w:left w:val="nil"/>
            </w:tcBorders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透過適當的管道蒐集社會議題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的</w:t>
            </w:r>
            <w:r w:rsidRPr="00164586">
              <w:rPr>
                <w:rFonts w:ascii="標楷體" w:eastAsia="標楷體" w:hAnsi="標楷體"/>
                <w:color w:val="000000"/>
              </w:rPr>
              <w:t>相關資料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，並兼顧不同觀點或意見</w:t>
            </w:r>
            <w:r w:rsidRPr="00164586">
              <w:rPr>
                <w:rFonts w:ascii="標楷體" w:eastAsia="標楷體" w:hAnsi="標楷體"/>
                <w:color w:val="000000"/>
              </w:rPr>
              <w:t>。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摘取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及</w:t>
            </w:r>
            <w:r w:rsidRPr="00164586">
              <w:rPr>
                <w:rFonts w:ascii="標楷體" w:eastAsia="標楷體" w:hAnsi="標楷體"/>
                <w:color w:val="000000"/>
              </w:rPr>
              <w:t>整理社會議題相關資料的重點，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判讀其正確性及價值，</w:t>
            </w:r>
            <w:r w:rsidRPr="00164586">
              <w:rPr>
                <w:rFonts w:ascii="標楷體" w:eastAsia="標楷體" w:hAnsi="標楷體"/>
                <w:color w:val="000000"/>
              </w:rPr>
              <w:t>並加以描述和解釋。</w:t>
            </w:r>
          </w:p>
        </w:tc>
      </w:tr>
    </w:tbl>
    <w:p w:rsidR="002338C9" w:rsidRPr="00164586" w:rsidRDefault="002338C9" w:rsidP="002338C9">
      <w:pPr>
        <w:snapToGrid w:val="0"/>
        <w:spacing w:beforeLines="50" w:before="180" w:afterLines="25" w:after="90" w:line="400" w:lineRule="exact"/>
        <w:jc w:val="both"/>
        <w:rPr>
          <w:rFonts w:ascii="標楷體" w:eastAsia="標楷體" w:hAnsi="標楷體"/>
          <w:color w:val="000000"/>
        </w:rPr>
      </w:pPr>
      <w:r w:rsidRPr="00164586">
        <w:rPr>
          <w:rFonts w:ascii="標楷體" w:eastAsia="標楷體" w:hAnsi="標楷體" w:hint="eastAsia"/>
          <w:color w:val="000000"/>
        </w:rPr>
        <w:t xml:space="preserve">   十二年國教社會領域公民與社會</w:t>
      </w:r>
      <w:proofErr w:type="gramStart"/>
      <w:r w:rsidRPr="00164586">
        <w:rPr>
          <w:rFonts w:ascii="標楷體" w:eastAsia="標楷體" w:hAnsi="標楷體" w:hint="eastAsia"/>
          <w:color w:val="000000"/>
        </w:rPr>
        <w:t>課綱關於</w:t>
      </w:r>
      <w:proofErr w:type="gramEnd"/>
      <w:r w:rsidRPr="00164586">
        <w:rPr>
          <w:rFonts w:ascii="標楷體" w:eastAsia="標楷體" w:hAnsi="標楷體" w:hint="eastAsia"/>
          <w:color w:val="000000"/>
        </w:rPr>
        <w:t>媒體素養的相關學習內容：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1334"/>
        <w:gridCol w:w="1334"/>
        <w:gridCol w:w="1492"/>
        <w:gridCol w:w="2126"/>
        <w:gridCol w:w="2233"/>
      </w:tblGrid>
      <w:tr w:rsidR="002338C9" w:rsidRPr="002B1CF5" w:rsidTr="00416C47">
        <w:trPr>
          <w:trHeight w:val="20"/>
        </w:trPr>
        <w:tc>
          <w:tcPr>
            <w:tcW w:w="677" w:type="pct"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ind w:left="312" w:hangingChars="130" w:hanging="312"/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677" w:type="pct"/>
            <w:shd w:val="clear" w:color="auto" w:fill="auto"/>
          </w:tcPr>
          <w:p w:rsidR="002338C9" w:rsidRPr="00164586" w:rsidRDefault="002338C9" w:rsidP="00416C47">
            <w:pPr>
              <w:widowControl/>
              <w:adjustRightInd w:val="0"/>
              <w:snapToGrid w:val="0"/>
              <w:spacing w:line="240" w:lineRule="atLeast"/>
              <w:ind w:left="312" w:hangingChars="130" w:hanging="312"/>
              <w:jc w:val="center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677" w:type="pct"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 w:hint="eastAsia"/>
                <w:color w:val="000000"/>
              </w:rPr>
              <w:t>階段</w:t>
            </w:r>
          </w:p>
        </w:tc>
        <w:tc>
          <w:tcPr>
            <w:tcW w:w="1836" w:type="pct"/>
            <w:gridSpan w:val="2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 w:hint="eastAsia"/>
                <w:color w:val="000000"/>
              </w:rPr>
              <w:t>條目</w:t>
            </w:r>
          </w:p>
        </w:tc>
        <w:tc>
          <w:tcPr>
            <w:tcW w:w="1133" w:type="pct"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2338C9" w:rsidRPr="002B1CF5" w:rsidTr="00416C47">
        <w:trPr>
          <w:trHeight w:val="20"/>
        </w:trPr>
        <w:tc>
          <w:tcPr>
            <w:tcW w:w="677" w:type="pct"/>
            <w:vMerge w:val="restart"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ind w:left="312" w:hangingChars="130" w:hanging="312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C.社會的運作、治理及參與實踐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2338C9" w:rsidRPr="00164586" w:rsidRDefault="002338C9" w:rsidP="00416C47">
            <w:pPr>
              <w:widowControl/>
              <w:adjustRightInd w:val="0"/>
              <w:snapToGrid w:val="0"/>
              <w:spacing w:line="240" w:lineRule="atLeast"/>
              <w:ind w:left="312" w:hangingChars="130" w:hanging="312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b.公共意見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國民中學</w:t>
            </w:r>
          </w:p>
        </w:tc>
        <w:tc>
          <w:tcPr>
            <w:tcW w:w="757" w:type="pct"/>
            <w:tcBorders>
              <w:right w:val="nil"/>
            </w:tcBorders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公Cb-Ⅳ-1</w:t>
            </w:r>
          </w:p>
        </w:tc>
        <w:tc>
          <w:tcPr>
            <w:tcW w:w="1079" w:type="pct"/>
            <w:tcBorders>
              <w:left w:val="nil"/>
            </w:tcBorders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民主社會的公共意見是如何形成的？有什麼特性？</w:t>
            </w:r>
          </w:p>
        </w:tc>
        <w:tc>
          <w:tcPr>
            <w:tcW w:w="1133" w:type="pct"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 w:hint="eastAsia"/>
                <w:color w:val="000000"/>
              </w:rPr>
              <w:t>探討民主社會如何經過反覆的公開自由辯論而形成公共意見，且形成之後仍具有變動性。</w:t>
            </w:r>
          </w:p>
        </w:tc>
      </w:tr>
      <w:tr w:rsidR="002338C9" w:rsidRPr="002B1CF5" w:rsidTr="00416C47">
        <w:trPr>
          <w:trHeight w:val="20"/>
        </w:trPr>
        <w:tc>
          <w:tcPr>
            <w:tcW w:w="677" w:type="pct"/>
            <w:vMerge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ind w:left="312" w:hangingChars="130" w:hanging="31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7" w:type="pct"/>
            <w:tcBorders>
              <w:right w:val="nil"/>
            </w:tcBorders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公Cb-Ⅳ-2</w:t>
            </w:r>
          </w:p>
        </w:tc>
        <w:tc>
          <w:tcPr>
            <w:tcW w:w="1079" w:type="pct"/>
            <w:tcBorders>
              <w:left w:val="nil"/>
            </w:tcBorders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媒體與社群網路在公共意見形成的過程中，扮演什麼角色？閱聽人如何覺察其影響？</w:t>
            </w:r>
          </w:p>
        </w:tc>
        <w:tc>
          <w:tcPr>
            <w:tcW w:w="1133" w:type="pct"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338C9" w:rsidRPr="00164586" w:rsidRDefault="002338C9" w:rsidP="002338C9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</w:rPr>
      </w:pPr>
      <w:r w:rsidRPr="00164586">
        <w:rPr>
          <w:rFonts w:ascii="標楷體" w:eastAsia="標楷體" w:hAnsi="標楷體" w:hint="eastAsia"/>
          <w:color w:val="000000"/>
        </w:rPr>
        <w:t xml:space="preserve">     如何掌握媒體素養切入課程的角度，以</w:t>
      </w:r>
      <w:proofErr w:type="gramStart"/>
      <w:r w:rsidRPr="00164586">
        <w:rPr>
          <w:rFonts w:ascii="標楷體" w:eastAsia="標楷體" w:hAnsi="標楷體" w:hint="eastAsia"/>
          <w:color w:val="000000"/>
        </w:rPr>
        <w:t>符應新課綱的</w:t>
      </w:r>
      <w:proofErr w:type="gramEnd"/>
      <w:r w:rsidRPr="00164586">
        <w:rPr>
          <w:rFonts w:ascii="標楷體" w:eastAsia="標楷體" w:hAnsi="標楷體" w:hint="eastAsia"/>
          <w:color w:val="000000"/>
        </w:rPr>
        <w:t>精神，並提供縣市相關輔導策略與資源，是社會領域輔導群委員值得參考學習的。</w:t>
      </w:r>
    </w:p>
    <w:p w:rsidR="002338C9" w:rsidRPr="00164586" w:rsidRDefault="002338C9" w:rsidP="002338C9">
      <w:pPr>
        <w:snapToGrid w:val="0"/>
        <w:spacing w:beforeLines="25" w:before="90" w:afterLines="25" w:after="9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64586">
        <w:rPr>
          <w:rFonts w:ascii="標楷體" w:eastAsia="標楷體" w:hAnsi="標楷體" w:hint="eastAsia"/>
          <w:color w:val="000000"/>
          <w:sz w:val="28"/>
        </w:rPr>
        <w:t>二、 公民投票與政治參與</w:t>
      </w:r>
    </w:p>
    <w:p w:rsidR="002338C9" w:rsidRPr="00164586" w:rsidRDefault="002338C9" w:rsidP="002338C9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164586">
        <w:rPr>
          <w:rFonts w:ascii="標楷體" w:eastAsia="標楷體" w:hAnsi="標楷體" w:hint="eastAsia"/>
          <w:color w:val="000000"/>
        </w:rPr>
        <w:t xml:space="preserve">    我國於民國92年制定《公民投票法》，使公民對於全國性或地方性的事務，能直接投票決定，實踐直接民權的理念，落實人民創制與</w:t>
      </w:r>
      <w:proofErr w:type="gramStart"/>
      <w:r w:rsidRPr="00164586">
        <w:rPr>
          <w:rFonts w:ascii="標楷體" w:eastAsia="標楷體" w:hAnsi="標楷體" w:hint="eastAsia"/>
          <w:color w:val="000000"/>
        </w:rPr>
        <w:t>複</w:t>
      </w:r>
      <w:proofErr w:type="gramEnd"/>
      <w:r w:rsidRPr="00164586">
        <w:rPr>
          <w:rFonts w:ascii="標楷體" w:eastAsia="標楷體" w:hAnsi="標楷體" w:hint="eastAsia"/>
          <w:color w:val="000000"/>
        </w:rPr>
        <w:t>決的權利。106年12月立法院三讀修正通過《公民投票法》部分條文，大幅下修公投提案、成案及通過門檻(有效同意票達選舉人總數1/4以上即為通過)；廢除公審會、18歲有公投權；全國性公投可以</w:t>
      </w:r>
      <w:proofErr w:type="gramStart"/>
      <w:r w:rsidRPr="00164586">
        <w:rPr>
          <w:rFonts w:ascii="標楷體" w:eastAsia="標楷體" w:hAnsi="標楷體" w:hint="eastAsia"/>
          <w:color w:val="000000"/>
        </w:rPr>
        <w:t>採</w:t>
      </w:r>
      <w:proofErr w:type="gramEnd"/>
      <w:r w:rsidRPr="00164586">
        <w:rPr>
          <w:rFonts w:ascii="標楷體" w:eastAsia="標楷體" w:hAnsi="標楷體" w:hint="eastAsia"/>
          <w:color w:val="000000"/>
        </w:rPr>
        <w:t>不在籍投票(但施行方式另以法律定之)。</w:t>
      </w:r>
    </w:p>
    <w:p w:rsidR="002338C9" w:rsidRPr="00164586" w:rsidRDefault="002338C9" w:rsidP="002338C9">
      <w:pPr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164586">
        <w:rPr>
          <w:rFonts w:ascii="標楷體" w:eastAsia="標楷體" w:hAnsi="標楷體" w:hint="eastAsia"/>
          <w:color w:val="000000"/>
        </w:rPr>
        <w:t xml:space="preserve">    2018年依據《公民投票法》於11月24日舉行全國性公民投票。本年度全國性公民投票案，與2018年中華民國地方公職人員選舉同時舉辦投票。因《公民投票法》下修提案、連署</w:t>
      </w:r>
      <w:r w:rsidRPr="00164586">
        <w:rPr>
          <w:rFonts w:ascii="標楷體" w:eastAsia="標楷體" w:hAnsi="標楷體" w:hint="eastAsia"/>
          <w:color w:val="000000"/>
        </w:rPr>
        <w:lastRenderedPageBreak/>
        <w:t>與公投通過標準，其提案、連署與成案數量比起2017年以前大幅上升，共有十案，議題涵蓋環保、能源、性別平權以及體育外交。這十案，有些是立法原則的創制，有些是法律的</w:t>
      </w:r>
      <w:proofErr w:type="gramStart"/>
      <w:r w:rsidRPr="00164586">
        <w:rPr>
          <w:rFonts w:ascii="標楷體" w:eastAsia="標楷體" w:hAnsi="標楷體" w:hint="eastAsia"/>
          <w:color w:val="000000"/>
        </w:rPr>
        <w:t>複</w:t>
      </w:r>
      <w:proofErr w:type="gramEnd"/>
      <w:r w:rsidRPr="00164586">
        <w:rPr>
          <w:rFonts w:ascii="標楷體" w:eastAsia="標楷體" w:hAnsi="標楷體" w:hint="eastAsia"/>
          <w:color w:val="000000"/>
        </w:rPr>
        <w:t>決，有些僅是民意的表達，通過公民投票案的後續處理方式及法律效果亦不同。</w:t>
      </w:r>
    </w:p>
    <w:p w:rsidR="002338C9" w:rsidRPr="00164586" w:rsidRDefault="002338C9" w:rsidP="002338C9">
      <w:pPr>
        <w:snapToGrid w:val="0"/>
        <w:spacing w:afterLines="25" w:after="90" w:line="400" w:lineRule="exact"/>
        <w:jc w:val="both"/>
        <w:rPr>
          <w:rFonts w:ascii="標楷體" w:eastAsia="標楷體" w:hAnsi="標楷體"/>
          <w:color w:val="000000"/>
        </w:rPr>
      </w:pPr>
      <w:r w:rsidRPr="00164586">
        <w:rPr>
          <w:rFonts w:ascii="標楷體" w:eastAsia="標楷體" w:hAnsi="標楷體" w:hint="eastAsia"/>
          <w:color w:val="000000"/>
        </w:rPr>
        <w:t xml:space="preserve">    十二年國教社會領域國民小學第四主題軸，「選擇與責任」在探究多元社會中，個人在追求自身發展、參與社會的經濟活動及公共事務時，必須做出合宜的選擇，並負起應盡之責任。公民投票的精神與相關理念，可於下列學習內容適度融入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1013"/>
        <w:gridCol w:w="1161"/>
        <w:gridCol w:w="2753"/>
        <w:gridCol w:w="1163"/>
        <w:gridCol w:w="2751"/>
      </w:tblGrid>
      <w:tr w:rsidR="002338C9" w:rsidRPr="002B1CF5" w:rsidTr="00416C47">
        <w:trPr>
          <w:trHeight w:val="20"/>
          <w:tblHeader/>
        </w:trPr>
        <w:tc>
          <w:tcPr>
            <w:tcW w:w="514" w:type="pct"/>
            <w:vMerge w:val="restart"/>
            <w:shd w:val="clear" w:color="auto" w:fill="auto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pacing w:val="-16"/>
              </w:rPr>
            </w:pPr>
            <w:r w:rsidRPr="00164586">
              <w:rPr>
                <w:rFonts w:ascii="標楷體" w:eastAsia="標楷體" w:hAnsi="標楷體"/>
                <w:b/>
                <w:color w:val="000000"/>
                <w:spacing w:val="-16"/>
              </w:rPr>
              <w:t>主題軸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ind w:left="264" w:hangingChars="110" w:hanging="264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項目</w:t>
            </w:r>
          </w:p>
        </w:tc>
        <w:tc>
          <w:tcPr>
            <w:tcW w:w="3972" w:type="pct"/>
            <w:gridSpan w:val="4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trike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條目</w:t>
            </w:r>
          </w:p>
        </w:tc>
      </w:tr>
      <w:tr w:rsidR="002338C9" w:rsidRPr="002B1CF5" w:rsidTr="00416C47">
        <w:trPr>
          <w:trHeight w:val="20"/>
          <w:tblHeader/>
        </w:trPr>
        <w:tc>
          <w:tcPr>
            <w:tcW w:w="514" w:type="pct"/>
            <w:vMerge/>
            <w:shd w:val="clear" w:color="auto" w:fill="auto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  <w:spacing w:val="-16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ind w:left="264" w:hangingChars="110" w:hanging="264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6" w:type="pct"/>
            <w:gridSpan w:val="2"/>
            <w:tcBorders>
              <w:bottom w:val="single" w:sz="4" w:space="0" w:color="auto"/>
            </w:tcBorders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第二學習階段</w:t>
            </w:r>
          </w:p>
        </w:tc>
        <w:tc>
          <w:tcPr>
            <w:tcW w:w="1986" w:type="pct"/>
            <w:gridSpan w:val="2"/>
            <w:tcBorders>
              <w:bottom w:val="single" w:sz="4" w:space="0" w:color="auto"/>
            </w:tcBorders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64586">
              <w:rPr>
                <w:rFonts w:ascii="標楷體" w:eastAsia="標楷體" w:hAnsi="標楷體"/>
                <w:b/>
                <w:color w:val="000000"/>
              </w:rPr>
              <w:t>第三學習階段</w:t>
            </w:r>
          </w:p>
        </w:tc>
      </w:tr>
      <w:tr w:rsidR="002338C9" w:rsidRPr="002B1CF5" w:rsidTr="00416C47">
        <w:trPr>
          <w:cantSplit/>
          <w:trHeight w:val="20"/>
        </w:trPr>
        <w:tc>
          <w:tcPr>
            <w:tcW w:w="514" w:type="pct"/>
            <w:vMerge w:val="restart"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D.選擇與責任</w:t>
            </w:r>
          </w:p>
        </w:tc>
        <w:tc>
          <w:tcPr>
            <w:tcW w:w="514" w:type="pct"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ind w:left="264" w:hangingChars="110" w:hanging="264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a.價值的選擇</w:t>
            </w:r>
          </w:p>
        </w:tc>
        <w:tc>
          <w:tcPr>
            <w:tcW w:w="589" w:type="pct"/>
            <w:tcBorders>
              <w:bottom w:val="single" w:sz="4" w:space="0" w:color="auto"/>
              <w:right w:val="nil"/>
            </w:tcBorders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Da-Ⅱ-1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Da-Ⅱ-2</w:t>
            </w:r>
          </w:p>
        </w:tc>
        <w:tc>
          <w:tcPr>
            <w:tcW w:w="139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時間與資源有限，個人須在生活中學會做選擇。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個人生活習慣和方式的選擇，對環境與社會價值觀有不同的影響。</w:t>
            </w:r>
          </w:p>
        </w:tc>
        <w:tc>
          <w:tcPr>
            <w:tcW w:w="590" w:type="pct"/>
            <w:tcBorders>
              <w:right w:val="nil"/>
            </w:tcBorders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Da-Ⅲ-1</w:t>
            </w:r>
          </w:p>
        </w:tc>
        <w:tc>
          <w:tcPr>
            <w:tcW w:w="1396" w:type="pct"/>
            <w:tcBorders>
              <w:left w:val="nil"/>
            </w:tcBorders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依據需求與價值觀做選擇時，須評估風險、結果及承擔責任，且不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應</w:t>
            </w:r>
            <w:r w:rsidRPr="00164586">
              <w:rPr>
                <w:rFonts w:ascii="標楷體" w:eastAsia="標楷體" w:hAnsi="標楷體"/>
                <w:color w:val="000000"/>
              </w:rPr>
              <w:t>侵害他人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福祉或正當</w:t>
            </w:r>
            <w:r w:rsidRPr="00164586">
              <w:rPr>
                <w:rFonts w:ascii="標楷體" w:eastAsia="標楷體" w:hAnsi="標楷體"/>
                <w:color w:val="000000"/>
              </w:rPr>
              <w:t>權益。</w:t>
            </w:r>
          </w:p>
        </w:tc>
      </w:tr>
      <w:tr w:rsidR="002338C9" w:rsidRPr="002B1CF5" w:rsidTr="00416C47">
        <w:trPr>
          <w:trHeight w:val="20"/>
        </w:trPr>
        <w:tc>
          <w:tcPr>
            <w:tcW w:w="514" w:type="pct"/>
            <w:vMerge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ind w:left="264" w:hangingChars="110" w:hanging="264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b.經濟的選擇</w:t>
            </w:r>
          </w:p>
        </w:tc>
        <w:tc>
          <w:tcPr>
            <w:tcW w:w="589" w:type="pct"/>
            <w:tcBorders>
              <w:bottom w:val="single" w:sz="4" w:space="0" w:color="auto"/>
              <w:right w:val="nil"/>
            </w:tcBorders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Db-Ⅱ-1</w:t>
            </w:r>
          </w:p>
        </w:tc>
        <w:tc>
          <w:tcPr>
            <w:tcW w:w="139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滿足需要的資源有限，在進行各項消費時要做評估再選擇。</w:t>
            </w:r>
          </w:p>
        </w:tc>
        <w:tc>
          <w:tcPr>
            <w:tcW w:w="590" w:type="pct"/>
            <w:tcBorders>
              <w:right w:val="nil"/>
            </w:tcBorders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Db-Ⅲ-1</w:t>
            </w:r>
          </w:p>
        </w:tc>
        <w:tc>
          <w:tcPr>
            <w:tcW w:w="1396" w:type="pct"/>
            <w:tcBorders>
              <w:left w:val="nil"/>
            </w:tcBorders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選擇合適的理財規劃，可以增加個人的財富並調節自身的消費力。</w:t>
            </w:r>
          </w:p>
        </w:tc>
      </w:tr>
      <w:tr w:rsidR="002338C9" w:rsidRPr="002B1CF5" w:rsidTr="00416C47">
        <w:trPr>
          <w:trHeight w:val="20"/>
        </w:trPr>
        <w:tc>
          <w:tcPr>
            <w:tcW w:w="514" w:type="pct"/>
            <w:vMerge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4" w:type="pct"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ind w:left="264" w:hangingChars="110" w:hanging="264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c.參與公共事務的選擇</w:t>
            </w:r>
          </w:p>
        </w:tc>
        <w:tc>
          <w:tcPr>
            <w:tcW w:w="589" w:type="pct"/>
            <w:tcBorders>
              <w:right w:val="nil"/>
            </w:tcBorders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Dc-Ⅱ-1</w:t>
            </w:r>
          </w:p>
        </w:tc>
        <w:tc>
          <w:tcPr>
            <w:tcW w:w="1397" w:type="pct"/>
            <w:tcBorders>
              <w:left w:val="nil"/>
            </w:tcBorders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班級與學校公共事務的安排，可以透過師生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適切的</w:t>
            </w:r>
            <w:r w:rsidRPr="00164586">
              <w:rPr>
                <w:rFonts w:ascii="標楷體" w:eastAsia="標楷體" w:hAnsi="標楷體"/>
                <w:color w:val="000000"/>
              </w:rPr>
              <w:t>討論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歷程做出</w:t>
            </w:r>
            <w:r w:rsidRPr="00164586">
              <w:rPr>
                <w:rFonts w:ascii="標楷體" w:eastAsia="標楷體" w:hAnsi="標楷體"/>
                <w:color w:val="000000"/>
              </w:rPr>
              <w:t>決定。</w:t>
            </w:r>
          </w:p>
        </w:tc>
        <w:tc>
          <w:tcPr>
            <w:tcW w:w="590" w:type="pct"/>
            <w:tcBorders>
              <w:right w:val="nil"/>
            </w:tcBorders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Dc-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Ⅲ</w:t>
            </w:r>
            <w:r w:rsidRPr="00164586">
              <w:rPr>
                <w:rFonts w:ascii="標楷體" w:eastAsia="標楷體" w:hAnsi="標楷體"/>
                <w:color w:val="000000"/>
              </w:rPr>
              <w:t>-1</w:t>
            </w:r>
          </w:p>
        </w:tc>
        <w:tc>
          <w:tcPr>
            <w:tcW w:w="1396" w:type="pct"/>
            <w:tcBorders>
              <w:left w:val="nil"/>
            </w:tcBorders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 w:hint="eastAsia"/>
                <w:color w:val="000000"/>
              </w:rPr>
              <w:t>團體或會議的運作可以透過成員適切的討論歷程做出決定</w:t>
            </w:r>
            <w:r w:rsidRPr="00164586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</w:tbl>
    <w:p w:rsidR="002338C9" w:rsidRPr="00164586" w:rsidRDefault="002338C9" w:rsidP="002338C9">
      <w:pPr>
        <w:snapToGrid w:val="0"/>
        <w:spacing w:beforeLines="50" w:before="180" w:afterLines="25" w:after="90" w:line="400" w:lineRule="exact"/>
        <w:jc w:val="both"/>
        <w:rPr>
          <w:rFonts w:ascii="標楷體" w:eastAsia="標楷體" w:hAnsi="標楷體"/>
          <w:color w:val="000000"/>
        </w:rPr>
      </w:pPr>
      <w:r w:rsidRPr="00164586">
        <w:rPr>
          <w:rFonts w:ascii="標楷體" w:eastAsia="標楷體" w:hAnsi="標楷體" w:hint="eastAsia"/>
          <w:color w:val="000000"/>
        </w:rPr>
        <w:t xml:space="preserve">    十二年國教社會領域國中公民與社會</w:t>
      </w:r>
      <w:proofErr w:type="gramStart"/>
      <w:r w:rsidRPr="00164586">
        <w:rPr>
          <w:rFonts w:ascii="標楷體" w:eastAsia="標楷體" w:hAnsi="標楷體" w:hint="eastAsia"/>
          <w:color w:val="000000"/>
        </w:rPr>
        <w:t>課綱關於</w:t>
      </w:r>
      <w:proofErr w:type="gramEnd"/>
      <w:r w:rsidRPr="00164586">
        <w:rPr>
          <w:rFonts w:ascii="標楷體" w:eastAsia="標楷體" w:hAnsi="標楷體" w:hint="eastAsia"/>
          <w:color w:val="000000"/>
        </w:rPr>
        <w:t>政治參與的相關學習內容(如下表)，會提及如何透過公民投票行使直接民權。於此，可以透過相關教材與媒體素材的編選，深化學生對公民投票的認知：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7"/>
        <w:gridCol w:w="1159"/>
        <w:gridCol w:w="1452"/>
        <w:gridCol w:w="2316"/>
        <w:gridCol w:w="1454"/>
        <w:gridCol w:w="2316"/>
      </w:tblGrid>
      <w:tr w:rsidR="002338C9" w:rsidRPr="002B1CF5" w:rsidTr="00416C47">
        <w:trPr>
          <w:trHeight w:val="20"/>
        </w:trPr>
        <w:tc>
          <w:tcPr>
            <w:tcW w:w="587" w:type="pct"/>
            <w:vMerge w:val="restart"/>
            <w:shd w:val="clear" w:color="auto" w:fill="auto"/>
            <w:vAlign w:val="center"/>
          </w:tcPr>
          <w:p w:rsidR="002338C9" w:rsidRPr="00164586" w:rsidRDefault="002338C9" w:rsidP="002338C9">
            <w:pPr>
              <w:adjustRightInd w:val="0"/>
              <w:snapToGrid w:val="0"/>
              <w:spacing w:beforeLines="50" w:before="180" w:line="240" w:lineRule="atLeast"/>
              <w:ind w:left="312" w:hangingChars="130" w:hanging="312"/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2338C9" w:rsidRPr="00164586" w:rsidRDefault="002338C9" w:rsidP="002338C9">
            <w:pPr>
              <w:adjustRightInd w:val="0"/>
              <w:snapToGrid w:val="0"/>
              <w:spacing w:beforeLines="50" w:before="180" w:line="240" w:lineRule="atLeast"/>
              <w:ind w:left="336" w:hangingChars="140" w:hanging="336"/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3825" w:type="pct"/>
            <w:gridSpan w:val="4"/>
            <w:vAlign w:val="center"/>
          </w:tcPr>
          <w:p w:rsidR="002338C9" w:rsidRPr="00164586" w:rsidRDefault="002338C9" w:rsidP="002338C9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 w:hint="eastAsia"/>
                <w:color w:val="000000"/>
              </w:rPr>
              <w:t>條目</w:t>
            </w:r>
          </w:p>
        </w:tc>
      </w:tr>
      <w:tr w:rsidR="002338C9" w:rsidRPr="002B1CF5" w:rsidTr="00416C47">
        <w:trPr>
          <w:trHeight w:val="20"/>
        </w:trPr>
        <w:tc>
          <w:tcPr>
            <w:tcW w:w="587" w:type="pct"/>
            <w:vMerge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ind w:left="312" w:hangingChars="130" w:hanging="31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8" w:type="pct"/>
            <w:vMerge/>
            <w:shd w:val="clear" w:color="auto" w:fill="auto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ind w:left="336" w:hangingChars="140" w:hanging="336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2" w:type="pct"/>
            <w:gridSpan w:val="2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 w:hint="eastAsia"/>
                <w:color w:val="000000"/>
              </w:rPr>
              <w:t>國民中學</w:t>
            </w:r>
          </w:p>
        </w:tc>
        <w:tc>
          <w:tcPr>
            <w:tcW w:w="1913" w:type="pct"/>
            <w:gridSpan w:val="2"/>
            <w:vAlign w:val="center"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 w:hint="eastAsia"/>
                <w:color w:val="000000"/>
              </w:rPr>
              <w:t>普通型高級中等學校</w:t>
            </w:r>
          </w:p>
        </w:tc>
      </w:tr>
      <w:tr w:rsidR="002338C9" w:rsidRPr="002B1CF5" w:rsidTr="00416C47">
        <w:trPr>
          <w:trHeight w:val="20"/>
        </w:trPr>
        <w:tc>
          <w:tcPr>
            <w:tcW w:w="587" w:type="pct"/>
            <w:shd w:val="clear" w:color="auto" w:fill="auto"/>
            <w:hideMark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ind w:left="312" w:hangingChars="130" w:hanging="312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C.社會的運作、治理及參與實踐</w:t>
            </w:r>
          </w:p>
        </w:tc>
        <w:tc>
          <w:tcPr>
            <w:tcW w:w="588" w:type="pct"/>
            <w:shd w:val="clear" w:color="auto" w:fill="auto"/>
            <w:hideMark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ind w:left="336" w:hangingChars="140" w:hanging="336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c.政治參與</w:t>
            </w:r>
          </w:p>
        </w:tc>
        <w:tc>
          <w:tcPr>
            <w:tcW w:w="737" w:type="pct"/>
            <w:tcBorders>
              <w:right w:val="nil"/>
            </w:tcBorders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公Cc-Ⅳ-1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公Cc-Ⅳ-2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公Cc-Ⅳ-3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【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延伸</w:t>
            </w:r>
            <w:r w:rsidRPr="00164586">
              <w:rPr>
                <w:rFonts w:ascii="標楷體" w:eastAsia="標楷體" w:hAnsi="標楷體"/>
                <w:color w:val="000000"/>
              </w:rPr>
              <w:t>探究】</w:t>
            </w:r>
          </w:p>
        </w:tc>
        <w:tc>
          <w:tcPr>
            <w:tcW w:w="1175" w:type="pct"/>
            <w:tcBorders>
              <w:left w:val="nil"/>
            </w:tcBorders>
            <w:shd w:val="clear" w:color="auto" w:fill="auto"/>
            <w:hideMark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民主社會中的政治參與為什麼很重要？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民主社會中為什麼常用投票來做為重要的參與形式？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公平投票有哪些基本原則？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中學生有哪些政治參與的管道？可能會面臨哪些限制？</w:t>
            </w:r>
          </w:p>
        </w:tc>
        <w:tc>
          <w:tcPr>
            <w:tcW w:w="738" w:type="pct"/>
            <w:tcBorders>
              <w:right w:val="nil"/>
            </w:tcBorders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公Cc-Ⅴ-1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公Cc-Ⅴ-2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【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延伸</w:t>
            </w:r>
            <w:r w:rsidRPr="00164586">
              <w:rPr>
                <w:rFonts w:ascii="標楷體" w:eastAsia="標楷體" w:hAnsi="標楷體"/>
                <w:color w:val="000000"/>
              </w:rPr>
              <w:t>探究】</w:t>
            </w:r>
          </w:p>
        </w:tc>
        <w:tc>
          <w:tcPr>
            <w:tcW w:w="1175" w:type="pct"/>
            <w:tcBorders>
              <w:left w:val="nil"/>
            </w:tcBorders>
            <w:shd w:val="clear" w:color="auto" w:fill="auto"/>
            <w:hideMark/>
          </w:tcPr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我國公民如何透過選舉參與中央及地方政治？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除了選舉之外，我國還有哪些重要的政治參與形式及管道？</w:t>
            </w:r>
          </w:p>
          <w:p w:rsidR="002338C9" w:rsidRPr="00164586" w:rsidRDefault="002338C9" w:rsidP="00416C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社會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處境不利的群體面臨什麼樣</w:t>
            </w:r>
            <w:r w:rsidRPr="00164586">
              <w:rPr>
                <w:rFonts w:ascii="標楷體" w:eastAsia="標楷體" w:hAnsi="標楷體"/>
                <w:color w:val="000000"/>
              </w:rPr>
              <w:t>政治參與機會與資源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上的不平等</w:t>
            </w:r>
            <w:r w:rsidRPr="00164586">
              <w:rPr>
                <w:rFonts w:ascii="標楷體" w:eastAsia="標楷體" w:hAnsi="標楷體"/>
                <w:color w:val="000000"/>
              </w:rPr>
              <w:t>？</w:t>
            </w:r>
          </w:p>
        </w:tc>
      </w:tr>
    </w:tbl>
    <w:p w:rsidR="002338C9" w:rsidRPr="00164586" w:rsidRDefault="002338C9" w:rsidP="002338C9">
      <w:pPr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</w:rPr>
      </w:pPr>
      <w:r w:rsidRPr="00164586">
        <w:rPr>
          <w:rFonts w:ascii="標楷體" w:eastAsia="標楷體" w:hAnsi="標楷體" w:hint="eastAsia"/>
          <w:color w:val="000000"/>
        </w:rPr>
        <w:t xml:space="preserve">     在民主社會中，「投票」是重要的政治參與形式，相關知能也是重要的公民素養。如何掌握相關知能切入課程的角度，以</w:t>
      </w:r>
      <w:proofErr w:type="gramStart"/>
      <w:r w:rsidRPr="00164586">
        <w:rPr>
          <w:rFonts w:ascii="標楷體" w:eastAsia="標楷體" w:hAnsi="標楷體" w:hint="eastAsia"/>
          <w:color w:val="000000"/>
        </w:rPr>
        <w:t>符應新課綱的</w:t>
      </w:r>
      <w:proofErr w:type="gramEnd"/>
      <w:r w:rsidRPr="00164586">
        <w:rPr>
          <w:rFonts w:ascii="標楷體" w:eastAsia="標楷體" w:hAnsi="標楷體" w:hint="eastAsia"/>
          <w:color w:val="000000"/>
        </w:rPr>
        <w:t>精神，是輔導群委員值得參考學習的。</w:t>
      </w:r>
    </w:p>
    <w:p w:rsidR="002338C9" w:rsidRPr="00164586" w:rsidRDefault="002338C9" w:rsidP="002338C9">
      <w:pPr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color w:val="000000"/>
          <w:sz w:val="28"/>
        </w:rPr>
      </w:pPr>
      <w:r w:rsidRPr="00164586">
        <w:rPr>
          <w:rFonts w:ascii="標楷體" w:eastAsia="標楷體" w:hAnsi="標楷體" w:hint="eastAsia"/>
          <w:b/>
          <w:color w:val="000000"/>
          <w:sz w:val="28"/>
        </w:rPr>
        <w:t>參、</w:t>
      </w:r>
      <w:r w:rsidRPr="00164586">
        <w:rPr>
          <w:rFonts w:ascii="標楷體" w:eastAsia="標楷體" w:hAnsi="標楷體"/>
          <w:b/>
          <w:color w:val="000000"/>
          <w:sz w:val="28"/>
        </w:rPr>
        <w:t>計畫執行方法</w:t>
      </w:r>
    </w:p>
    <w:p w:rsidR="002338C9" w:rsidRPr="00164586" w:rsidRDefault="002338C9" w:rsidP="002338C9">
      <w:pPr>
        <w:snapToGrid w:val="0"/>
        <w:spacing w:line="400" w:lineRule="exact"/>
        <w:ind w:leftChars="118" w:left="779" w:hangingChars="177" w:hanging="496"/>
        <w:jc w:val="both"/>
        <w:rPr>
          <w:rFonts w:ascii="標楷體" w:eastAsia="標楷體" w:hAnsi="標楷體"/>
          <w:color w:val="000000"/>
          <w:sz w:val="28"/>
        </w:rPr>
      </w:pPr>
      <w:r w:rsidRPr="00164586">
        <w:rPr>
          <w:rFonts w:ascii="標楷體" w:eastAsia="標楷體" w:hAnsi="標楷體" w:hint="eastAsia"/>
          <w:color w:val="000000"/>
          <w:sz w:val="28"/>
        </w:rPr>
        <w:lastRenderedPageBreak/>
        <w:t>一、</w:t>
      </w:r>
      <w:r w:rsidRPr="00164586">
        <w:rPr>
          <w:rFonts w:ascii="標楷體" w:eastAsia="標楷體" w:hAnsi="標楷體"/>
          <w:color w:val="000000"/>
          <w:sz w:val="28"/>
        </w:rPr>
        <w:t>參加對象</w:t>
      </w:r>
      <w:proofErr w:type="gramStart"/>
      <w:r w:rsidRPr="00164586">
        <w:rPr>
          <w:rFonts w:ascii="標楷體" w:eastAsia="標楷體" w:hAnsi="標楷體"/>
          <w:color w:val="000000"/>
          <w:sz w:val="28"/>
        </w:rPr>
        <w:t>以本群委員</w:t>
      </w:r>
      <w:proofErr w:type="gramEnd"/>
      <w:r w:rsidRPr="00164586">
        <w:rPr>
          <w:rFonts w:ascii="標楷體" w:eastAsia="標楷體" w:hAnsi="標楷體"/>
          <w:color w:val="000000"/>
          <w:sz w:val="28"/>
        </w:rPr>
        <w:t>為主，並發送公文至各縣市教育局，且將訊息公告至</w:t>
      </w:r>
      <w:r w:rsidRPr="00164586">
        <w:rPr>
          <w:rFonts w:ascii="標楷體" w:eastAsia="標楷體" w:hAnsi="標楷體" w:hint="eastAsia"/>
          <w:color w:val="000000"/>
          <w:sz w:val="28"/>
        </w:rPr>
        <w:t>C</w:t>
      </w:r>
      <w:r w:rsidRPr="00164586">
        <w:rPr>
          <w:rFonts w:ascii="標楷體" w:eastAsia="標楷體" w:hAnsi="標楷體"/>
          <w:color w:val="000000"/>
          <w:sz w:val="28"/>
        </w:rPr>
        <w:t>IRN</w:t>
      </w:r>
      <w:r w:rsidRPr="00164586">
        <w:rPr>
          <w:rFonts w:ascii="標楷體" w:eastAsia="標楷體" w:hAnsi="標楷體" w:hint="eastAsia"/>
          <w:color w:val="000000"/>
          <w:sz w:val="28"/>
        </w:rPr>
        <w:t>網站</w:t>
      </w:r>
      <w:r w:rsidRPr="00164586">
        <w:rPr>
          <w:rFonts w:ascii="標楷體" w:eastAsia="標楷體" w:hAnsi="標楷體"/>
          <w:color w:val="000000"/>
          <w:sz w:val="28"/>
        </w:rPr>
        <w:t>，開放相關學者專家、縣市輔導員或有興趣之教師自由報名參加。</w:t>
      </w:r>
    </w:p>
    <w:p w:rsidR="002338C9" w:rsidRPr="00164586" w:rsidRDefault="002338C9" w:rsidP="002338C9">
      <w:pPr>
        <w:snapToGrid w:val="0"/>
        <w:spacing w:line="400" w:lineRule="exact"/>
        <w:ind w:firstLineChars="100" w:firstLine="280"/>
        <w:jc w:val="both"/>
        <w:rPr>
          <w:rFonts w:ascii="標楷體" w:eastAsia="標楷體" w:hAnsi="標楷體"/>
          <w:color w:val="000000"/>
          <w:sz w:val="28"/>
        </w:rPr>
      </w:pPr>
      <w:r w:rsidRPr="00164586">
        <w:rPr>
          <w:rFonts w:ascii="標楷體" w:eastAsia="標楷體" w:hAnsi="標楷體" w:hint="eastAsia"/>
          <w:color w:val="000000"/>
          <w:sz w:val="28"/>
        </w:rPr>
        <w:t>二、</w:t>
      </w:r>
      <w:r w:rsidRPr="00164586">
        <w:rPr>
          <w:rFonts w:ascii="標楷體" w:eastAsia="標楷體" w:hAnsi="標楷體"/>
          <w:color w:val="000000"/>
          <w:sz w:val="28"/>
        </w:rPr>
        <w:t>本</w:t>
      </w:r>
      <w:r w:rsidRPr="00164586">
        <w:rPr>
          <w:rFonts w:ascii="標楷體" w:eastAsia="標楷體" w:hAnsi="標楷體" w:hint="eastAsia"/>
          <w:color w:val="000000"/>
          <w:sz w:val="28"/>
        </w:rPr>
        <w:t>學</w:t>
      </w:r>
      <w:r w:rsidRPr="00164586">
        <w:rPr>
          <w:rFonts w:ascii="標楷體" w:eastAsia="標楷體" w:hAnsi="標楷體"/>
          <w:color w:val="000000"/>
          <w:sz w:val="28"/>
        </w:rPr>
        <w:t>年度預計</w:t>
      </w:r>
      <w:proofErr w:type="gramStart"/>
      <w:r w:rsidRPr="00164586">
        <w:rPr>
          <w:rFonts w:ascii="標楷體" w:eastAsia="標楷體" w:hAnsi="標楷體"/>
          <w:color w:val="000000"/>
          <w:sz w:val="28"/>
        </w:rPr>
        <w:t>規</w:t>
      </w:r>
      <w:proofErr w:type="gramEnd"/>
      <w:r w:rsidRPr="00164586">
        <w:rPr>
          <w:rFonts w:ascii="標楷體" w:eastAsia="標楷體" w:hAnsi="標楷體"/>
          <w:color w:val="000000"/>
          <w:sz w:val="28"/>
        </w:rPr>
        <w:t>畫</w:t>
      </w:r>
      <w:r w:rsidRPr="00164586">
        <w:rPr>
          <w:rFonts w:ascii="標楷體" w:eastAsia="標楷體" w:hAnsi="標楷體" w:hint="eastAsia"/>
          <w:color w:val="000000"/>
          <w:sz w:val="28"/>
        </w:rPr>
        <w:t>2</w:t>
      </w:r>
      <w:r w:rsidRPr="00164586">
        <w:rPr>
          <w:rFonts w:ascii="標楷體" w:eastAsia="標楷體" w:hAnsi="標楷體"/>
          <w:color w:val="000000"/>
          <w:sz w:val="28"/>
        </w:rPr>
        <w:t>次研討主題，由常委會規劃執行。內容如下：</w:t>
      </w:r>
    </w:p>
    <w:p w:rsidR="002338C9" w:rsidRPr="00164586" w:rsidRDefault="002338C9" w:rsidP="002338C9">
      <w:pPr>
        <w:snapToGrid w:val="0"/>
        <w:spacing w:line="400" w:lineRule="exact"/>
        <w:ind w:leftChars="100" w:left="840" w:hangingChars="250" w:hanging="600"/>
        <w:jc w:val="both"/>
        <w:rPr>
          <w:rFonts w:ascii="標楷體" w:eastAsia="標楷體" w:hAnsi="標楷體"/>
          <w:color w:val="000000"/>
        </w:rPr>
      </w:pPr>
      <w:r w:rsidRPr="00164586">
        <w:rPr>
          <w:rFonts w:ascii="標楷體" w:eastAsia="標楷體" w:hAnsi="標楷體" w:hint="eastAsia"/>
          <w:color w:val="000000"/>
        </w:rPr>
        <w:t>(一</w:t>
      </w:r>
      <w:proofErr w:type="gramStart"/>
      <w:r w:rsidRPr="00164586">
        <w:rPr>
          <w:rFonts w:ascii="標楷體" w:eastAsia="標楷體" w:hAnsi="標楷體"/>
          <w:color w:val="000000"/>
        </w:rPr>
        <w:t>）</w:t>
      </w:r>
      <w:proofErr w:type="gramEnd"/>
      <w:r w:rsidRPr="00164586">
        <w:rPr>
          <w:rFonts w:ascii="標楷體" w:eastAsia="標楷體" w:hAnsi="標楷體"/>
          <w:color w:val="000000"/>
        </w:rPr>
        <w:t>邀請專家學者針對</w:t>
      </w:r>
      <w:r w:rsidRPr="00164586">
        <w:rPr>
          <w:rFonts w:ascii="標楷體" w:eastAsia="標楷體" w:hAnsi="標楷體" w:hint="eastAsia"/>
          <w:color w:val="000000"/>
        </w:rPr>
        <w:t>「媒體素養」教育融入社會領域課程之策略與實踐</w:t>
      </w:r>
      <w:proofErr w:type="gramStart"/>
      <w:r w:rsidRPr="00164586">
        <w:rPr>
          <w:rFonts w:ascii="標楷體" w:eastAsia="標楷體" w:hAnsi="標楷體" w:hint="eastAsia"/>
          <w:color w:val="000000"/>
        </w:rPr>
        <w:t>─</w:t>
      </w:r>
      <w:proofErr w:type="gramEnd"/>
      <w:r w:rsidRPr="00164586">
        <w:rPr>
          <w:rFonts w:ascii="標楷體" w:eastAsia="標楷體" w:hAnsi="標楷體" w:hint="eastAsia"/>
          <w:color w:val="000000"/>
        </w:rPr>
        <w:t>以原住民傳播權為例，進行專題演講並討論</w:t>
      </w:r>
      <w:r w:rsidRPr="00164586">
        <w:rPr>
          <w:rFonts w:ascii="標楷體" w:eastAsia="標楷體" w:hAnsi="標楷體"/>
          <w:color w:val="000000"/>
        </w:rPr>
        <w:t>。預計邀請人：</w:t>
      </w:r>
      <w:r w:rsidRPr="00164586">
        <w:rPr>
          <w:rFonts w:ascii="標楷體" w:eastAsia="標楷體" w:hAnsi="標楷體" w:hint="eastAsia"/>
          <w:color w:val="000000"/>
        </w:rPr>
        <w:t>國立臺灣大學新聞研究所教授洪貞玲教授</w:t>
      </w:r>
      <w:r w:rsidRPr="00164586">
        <w:rPr>
          <w:rFonts w:ascii="標楷體" w:eastAsia="標楷體" w:hAnsi="標楷體"/>
          <w:color w:val="000000"/>
        </w:rPr>
        <w:t>。</w:t>
      </w:r>
    </w:p>
    <w:p w:rsidR="002338C9" w:rsidRPr="00164586" w:rsidRDefault="002338C9" w:rsidP="002338C9">
      <w:pPr>
        <w:snapToGrid w:val="0"/>
        <w:spacing w:line="400" w:lineRule="exact"/>
        <w:ind w:leftChars="50" w:left="840" w:hangingChars="300" w:hanging="720"/>
        <w:jc w:val="both"/>
        <w:rPr>
          <w:rFonts w:ascii="標楷體" w:eastAsia="標楷體" w:hAnsi="標楷體"/>
          <w:color w:val="000000"/>
        </w:rPr>
      </w:pPr>
      <w:r w:rsidRPr="00164586">
        <w:rPr>
          <w:rFonts w:ascii="標楷體" w:eastAsia="標楷體" w:hAnsi="標楷體" w:hint="eastAsia"/>
          <w:color w:val="000000"/>
        </w:rPr>
        <w:t>（二）</w:t>
      </w:r>
      <w:r w:rsidRPr="00164586">
        <w:rPr>
          <w:rFonts w:ascii="標楷體" w:eastAsia="標楷體" w:hAnsi="標楷體"/>
          <w:color w:val="000000"/>
        </w:rPr>
        <w:t>邀請專家學者針對</w:t>
      </w:r>
      <w:r w:rsidRPr="00164586">
        <w:rPr>
          <w:rFonts w:ascii="標楷體" w:eastAsia="標楷體" w:hAnsi="標楷體" w:hint="eastAsia"/>
          <w:color w:val="000000"/>
        </w:rPr>
        <w:t>公民投票與政治參與進行</w:t>
      </w:r>
      <w:r w:rsidRPr="00164586">
        <w:rPr>
          <w:rFonts w:ascii="標楷體" w:eastAsia="標楷體" w:hAnsi="標楷體"/>
          <w:color w:val="000000"/>
        </w:rPr>
        <w:t>專題演講並討論。預計邀請人：</w:t>
      </w:r>
      <w:r w:rsidRPr="00164586">
        <w:rPr>
          <w:rFonts w:ascii="標楷體" w:eastAsia="標楷體" w:hAnsi="標楷體" w:hint="eastAsia"/>
          <w:color w:val="000000"/>
        </w:rPr>
        <w:t>國立政治大學政治學系劉義周名譽教授</w:t>
      </w:r>
      <w:r w:rsidRPr="00164586">
        <w:rPr>
          <w:rFonts w:ascii="標楷體" w:eastAsia="標楷體" w:hAnsi="標楷體"/>
          <w:color w:val="000000"/>
        </w:rPr>
        <w:t>。</w:t>
      </w:r>
    </w:p>
    <w:p w:rsidR="002338C9" w:rsidRPr="00164586" w:rsidRDefault="002338C9" w:rsidP="002338C9">
      <w:pPr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color w:val="000000"/>
          <w:sz w:val="28"/>
        </w:rPr>
      </w:pPr>
      <w:r w:rsidRPr="00164586">
        <w:rPr>
          <w:rFonts w:ascii="標楷體" w:eastAsia="標楷體" w:hAnsi="標楷體" w:hint="eastAsia"/>
          <w:b/>
          <w:color w:val="000000"/>
          <w:sz w:val="28"/>
        </w:rPr>
        <w:t>肆</w:t>
      </w:r>
      <w:r w:rsidRPr="00164586">
        <w:rPr>
          <w:rFonts w:ascii="標楷體" w:eastAsia="標楷體" w:hAnsi="標楷體"/>
          <w:b/>
          <w:color w:val="000000"/>
          <w:sz w:val="28"/>
        </w:rPr>
        <w:t>、執行日期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1701"/>
        <w:gridCol w:w="2410"/>
        <w:gridCol w:w="1843"/>
        <w:gridCol w:w="1768"/>
      </w:tblGrid>
      <w:tr w:rsidR="002338C9" w:rsidRPr="002B1CF5" w:rsidTr="00416C47">
        <w:trPr>
          <w:trHeight w:val="7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C9" w:rsidRPr="00164586" w:rsidRDefault="002338C9" w:rsidP="00416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C9" w:rsidRPr="00164586" w:rsidRDefault="002338C9" w:rsidP="00416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C9" w:rsidRPr="00164586" w:rsidRDefault="002338C9" w:rsidP="00416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主題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C9" w:rsidRPr="00164586" w:rsidRDefault="002338C9" w:rsidP="00416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講座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C9" w:rsidRPr="00164586" w:rsidRDefault="002338C9" w:rsidP="00416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參與成員</w:t>
            </w:r>
          </w:p>
        </w:tc>
      </w:tr>
      <w:tr w:rsidR="002338C9" w:rsidRPr="002B1CF5" w:rsidTr="00416C47">
        <w:trPr>
          <w:trHeight w:val="1319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C9" w:rsidRPr="00164586" w:rsidRDefault="002338C9" w:rsidP="00416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10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8</w:t>
            </w:r>
            <w:r w:rsidRPr="00164586">
              <w:rPr>
                <w:rFonts w:ascii="標楷體" w:eastAsia="標楷體" w:hAnsi="標楷體"/>
                <w:color w:val="000000"/>
              </w:rPr>
              <w:t>.1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0</w:t>
            </w:r>
            <w:r w:rsidRPr="00164586">
              <w:rPr>
                <w:rFonts w:ascii="標楷體" w:eastAsia="標楷體" w:hAnsi="標楷體"/>
                <w:color w:val="000000"/>
              </w:rPr>
              <w:t>.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25</w:t>
            </w:r>
          </w:p>
          <w:p w:rsidR="002338C9" w:rsidRPr="00164586" w:rsidRDefault="002338C9" w:rsidP="00416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週五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C9" w:rsidRPr="00164586" w:rsidRDefault="002338C9" w:rsidP="00416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10:00-12:00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C9" w:rsidRPr="00164586" w:rsidRDefault="002338C9" w:rsidP="00416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 w:hint="eastAsia"/>
                <w:color w:val="000000"/>
              </w:rPr>
              <w:t>公民投票與政治參與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C9" w:rsidRPr="00164586" w:rsidRDefault="002338C9" w:rsidP="00416C4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 w:hint="eastAsia"/>
                <w:color w:val="000000"/>
              </w:rPr>
              <w:t>劉義周教授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8C9" w:rsidRPr="00164586" w:rsidRDefault="002338C9" w:rsidP="00416C47">
            <w:pPr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輔導群所有委員，</w:t>
            </w:r>
            <w:proofErr w:type="gramStart"/>
            <w:r w:rsidRPr="00164586">
              <w:rPr>
                <w:rFonts w:ascii="標楷體" w:eastAsia="標楷體" w:hAnsi="標楷體"/>
                <w:color w:val="000000"/>
              </w:rPr>
              <w:t>並透群組信</w:t>
            </w:r>
            <w:proofErr w:type="gramEnd"/>
            <w:r w:rsidRPr="00164586">
              <w:rPr>
                <w:rFonts w:ascii="標楷體" w:eastAsia="標楷體" w:hAnsi="標楷體"/>
                <w:color w:val="000000"/>
              </w:rPr>
              <w:t>、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CIRN</w:t>
            </w:r>
            <w:r w:rsidRPr="00164586">
              <w:rPr>
                <w:rFonts w:ascii="標楷體" w:eastAsia="標楷體" w:hAnsi="標楷體"/>
                <w:color w:val="000000"/>
              </w:rPr>
              <w:t>網與發文，邀請有興趣可自行處理課</w:t>
            </w:r>
            <w:proofErr w:type="gramStart"/>
            <w:r w:rsidRPr="00164586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164586">
              <w:rPr>
                <w:rFonts w:ascii="標楷體" w:eastAsia="標楷體" w:hAnsi="標楷體"/>
                <w:color w:val="000000"/>
              </w:rPr>
              <w:t>之縣市團夥伴或有興趣之教師參與</w:t>
            </w:r>
          </w:p>
        </w:tc>
      </w:tr>
      <w:tr w:rsidR="002338C9" w:rsidRPr="002B1CF5" w:rsidTr="00416C47">
        <w:trPr>
          <w:trHeight w:val="67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C9" w:rsidRPr="00164586" w:rsidRDefault="002338C9" w:rsidP="00416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10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9</w:t>
            </w:r>
            <w:r w:rsidRPr="00164586">
              <w:rPr>
                <w:rFonts w:ascii="標楷體" w:eastAsia="標楷體" w:hAnsi="標楷體"/>
                <w:color w:val="000000"/>
              </w:rPr>
              <w:t>.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03</w:t>
            </w:r>
            <w:r w:rsidRPr="00164586">
              <w:rPr>
                <w:rFonts w:ascii="標楷體" w:eastAsia="標楷體" w:hAnsi="標楷體"/>
                <w:color w:val="000000"/>
              </w:rPr>
              <w:t>.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06</w:t>
            </w:r>
          </w:p>
          <w:p w:rsidR="002338C9" w:rsidRPr="00164586" w:rsidRDefault="002338C9" w:rsidP="00416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/>
                <w:color w:val="000000"/>
              </w:rPr>
              <w:t>週五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C9" w:rsidRPr="00164586" w:rsidRDefault="002338C9" w:rsidP="00416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 w:hint="eastAsia"/>
                <w:color w:val="000000"/>
              </w:rPr>
              <w:t>1</w:t>
            </w:r>
            <w:r w:rsidRPr="00164586">
              <w:rPr>
                <w:rFonts w:ascii="標楷體" w:eastAsia="標楷體" w:hAnsi="標楷體"/>
                <w:color w:val="000000"/>
              </w:rPr>
              <w:t>4:</w:t>
            </w:r>
            <w:r w:rsidRPr="00164586">
              <w:rPr>
                <w:rFonts w:ascii="標楷體" w:eastAsia="標楷體" w:hAnsi="標楷體" w:hint="eastAsia"/>
                <w:color w:val="000000"/>
              </w:rPr>
              <w:t>0</w:t>
            </w:r>
            <w:r w:rsidRPr="00164586">
              <w:rPr>
                <w:rFonts w:ascii="標楷體" w:eastAsia="標楷體" w:hAnsi="標楷體"/>
                <w:color w:val="000000"/>
              </w:rPr>
              <w:t>0-16:00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C9" w:rsidRPr="00164586" w:rsidRDefault="002338C9" w:rsidP="00416C47">
            <w:pPr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 w:hint="eastAsia"/>
                <w:color w:val="000000"/>
              </w:rPr>
              <w:t>「媒體素養」教育融入社會領域課程之策略與實踐</w:t>
            </w:r>
            <w:proofErr w:type="gramStart"/>
            <w:r w:rsidRPr="00164586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 w:rsidRPr="00164586">
              <w:rPr>
                <w:rFonts w:ascii="標楷體" w:eastAsia="標楷體" w:hAnsi="標楷體" w:hint="eastAsia"/>
                <w:color w:val="000000"/>
              </w:rPr>
              <w:t>以原住民傳播權為例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C9" w:rsidRPr="00164586" w:rsidRDefault="002338C9" w:rsidP="00416C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64586">
              <w:rPr>
                <w:rFonts w:ascii="標楷體" w:eastAsia="標楷體" w:hAnsi="標楷體" w:hint="eastAsia"/>
                <w:color w:val="000000"/>
              </w:rPr>
              <w:t>洪貞玲教授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8C9" w:rsidRPr="00164586" w:rsidRDefault="002338C9" w:rsidP="00416C4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338C9" w:rsidRPr="00164586" w:rsidRDefault="002338C9" w:rsidP="002338C9">
      <w:pPr>
        <w:widowControl/>
        <w:spacing w:beforeLines="50" w:before="180"/>
        <w:rPr>
          <w:rFonts w:ascii="標楷體" w:eastAsia="標楷體" w:hAnsi="標楷體"/>
          <w:b/>
          <w:color w:val="000000"/>
          <w:sz w:val="28"/>
        </w:rPr>
      </w:pPr>
      <w:r w:rsidRPr="00164586">
        <w:rPr>
          <w:rFonts w:ascii="標楷體" w:eastAsia="標楷體" w:hAnsi="標楷體" w:hint="eastAsia"/>
          <w:b/>
          <w:color w:val="000000"/>
          <w:sz w:val="28"/>
        </w:rPr>
        <w:t>伍</w:t>
      </w:r>
      <w:r w:rsidRPr="00164586">
        <w:rPr>
          <w:rFonts w:ascii="標楷體" w:eastAsia="標楷體" w:hAnsi="標楷體"/>
          <w:b/>
          <w:color w:val="000000"/>
          <w:sz w:val="28"/>
        </w:rPr>
        <w:t>、轉化與推廣</w:t>
      </w:r>
    </w:p>
    <w:p w:rsidR="002338C9" w:rsidRPr="00164586" w:rsidRDefault="002338C9" w:rsidP="002338C9">
      <w:pPr>
        <w:snapToGrid w:val="0"/>
        <w:spacing w:line="400" w:lineRule="exact"/>
        <w:ind w:leftChars="118" w:left="779" w:hangingChars="177" w:hanging="496"/>
        <w:jc w:val="both"/>
        <w:rPr>
          <w:rFonts w:ascii="標楷體" w:eastAsia="標楷體" w:hAnsi="標楷體"/>
          <w:color w:val="000000"/>
          <w:sz w:val="28"/>
        </w:rPr>
      </w:pPr>
      <w:r w:rsidRPr="00164586">
        <w:rPr>
          <w:rFonts w:ascii="標楷體" w:eastAsia="標楷體" w:hAnsi="標楷體" w:hint="eastAsia"/>
          <w:color w:val="000000"/>
          <w:sz w:val="28"/>
        </w:rPr>
        <w:t>一、</w:t>
      </w:r>
      <w:r w:rsidRPr="00164586">
        <w:rPr>
          <w:rFonts w:ascii="標楷體" w:eastAsia="標楷體" w:hAnsi="標楷體"/>
          <w:color w:val="000000"/>
          <w:sz w:val="28"/>
        </w:rPr>
        <w:t>結合10</w:t>
      </w:r>
      <w:r w:rsidRPr="00164586">
        <w:rPr>
          <w:rFonts w:ascii="標楷體" w:eastAsia="標楷體" w:hAnsi="標楷體" w:hint="eastAsia"/>
          <w:color w:val="000000"/>
          <w:sz w:val="28"/>
        </w:rPr>
        <w:t>8</w:t>
      </w:r>
      <w:r w:rsidRPr="00164586">
        <w:rPr>
          <w:rFonts w:ascii="標楷體" w:eastAsia="標楷體" w:hAnsi="標楷體"/>
          <w:color w:val="000000"/>
          <w:sz w:val="28"/>
        </w:rPr>
        <w:t>學年度社會領域年度研討會，進行教案徵稿與發表</w:t>
      </w:r>
      <w:r w:rsidRPr="00164586">
        <w:rPr>
          <w:rFonts w:ascii="標楷體" w:eastAsia="標楷體" w:hAnsi="標楷體" w:hint="eastAsia"/>
          <w:color w:val="000000"/>
          <w:sz w:val="28"/>
        </w:rPr>
        <w:t>。</w:t>
      </w:r>
    </w:p>
    <w:p w:rsidR="002338C9" w:rsidRPr="0070222C" w:rsidRDefault="002338C9" w:rsidP="002338C9">
      <w:pPr>
        <w:ind w:firstLineChars="100" w:firstLine="280"/>
      </w:pPr>
      <w:r w:rsidRPr="00164586">
        <w:rPr>
          <w:rFonts w:ascii="標楷體" w:eastAsia="標楷體" w:hAnsi="標楷體" w:hint="eastAsia"/>
          <w:color w:val="000000"/>
          <w:sz w:val="28"/>
        </w:rPr>
        <w:t>二、</w:t>
      </w:r>
      <w:r w:rsidRPr="00164586">
        <w:rPr>
          <w:rFonts w:ascii="標楷體" w:eastAsia="標楷體" w:hAnsi="標楷體"/>
          <w:color w:val="000000"/>
          <w:sz w:val="28"/>
        </w:rPr>
        <w:t>成果公布於</w:t>
      </w:r>
      <w:r w:rsidRPr="00164586">
        <w:rPr>
          <w:rFonts w:ascii="標楷體" w:eastAsia="標楷體" w:hAnsi="標楷體" w:hint="eastAsia"/>
          <w:color w:val="000000"/>
          <w:sz w:val="28"/>
        </w:rPr>
        <w:t>CIRN</w:t>
      </w:r>
      <w:proofErr w:type="gramStart"/>
      <w:r w:rsidRPr="00164586">
        <w:rPr>
          <w:rFonts w:ascii="標楷體" w:eastAsia="標楷體" w:hAnsi="標楷體"/>
          <w:color w:val="000000"/>
          <w:sz w:val="28"/>
        </w:rPr>
        <w:t>網供全國</w:t>
      </w:r>
      <w:proofErr w:type="gramEnd"/>
      <w:r w:rsidRPr="00164586">
        <w:rPr>
          <w:rFonts w:ascii="標楷體" w:eastAsia="標楷體" w:hAnsi="標楷體"/>
          <w:color w:val="000000"/>
          <w:sz w:val="28"/>
        </w:rPr>
        <w:t>教師使用。</w:t>
      </w:r>
    </w:p>
    <w:p w:rsidR="002338C9" w:rsidRDefault="002338C9" w:rsidP="002338C9">
      <w:pPr>
        <w:widowControl/>
        <w:rPr>
          <w:rFonts w:ascii="Calibri" w:eastAsia="標楷體" w:hAnsi="Calibri"/>
          <w:color w:val="000000"/>
        </w:rPr>
      </w:pPr>
    </w:p>
    <w:p w:rsidR="001F1E75" w:rsidRDefault="001F1E75" w:rsidP="002338C9"/>
    <w:sectPr w:rsidR="001F1E75" w:rsidSect="002338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C9"/>
    <w:rsid w:val="001F1E75"/>
    <w:rsid w:val="0023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1</cp:revision>
  <dcterms:created xsi:type="dcterms:W3CDTF">2019-09-20T04:38:00Z</dcterms:created>
  <dcterms:modified xsi:type="dcterms:W3CDTF">2019-09-20T04:39:00Z</dcterms:modified>
</cp:coreProperties>
</file>