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76" w:rsidRPr="00D975D8" w:rsidRDefault="00056676" w:rsidP="00056676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plan11國小8hrs"/>
      <w:r w:rsidRPr="00D975D8">
        <w:rPr>
          <w:rFonts w:ascii="標楷體" w:eastAsia="標楷體" w:hAnsi="標楷體" w:hint="eastAsia"/>
          <w:b/>
          <w:sz w:val="28"/>
          <w:szCs w:val="28"/>
        </w:rPr>
        <w:t>子計畫十一、</w:t>
      </w:r>
      <w:r>
        <w:rPr>
          <w:rFonts w:ascii="標楷體" w:eastAsia="標楷體" w:hAnsi="標楷體" w:hint="eastAsia"/>
          <w:b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/>
          <w:sz w:val="28"/>
          <w:szCs w:val="28"/>
        </w:rPr>
        <w:t>8小時基礎師資培訓</w:t>
      </w:r>
      <w:r w:rsidRPr="00D975D8">
        <w:rPr>
          <w:rFonts w:ascii="標楷體" w:eastAsia="標楷體" w:hAnsi="標楷體"/>
          <w:b/>
          <w:sz w:val="28"/>
          <w:szCs w:val="28"/>
        </w:rPr>
        <w:t>(</w:t>
      </w:r>
      <w:r w:rsidRPr="00D975D8">
        <w:rPr>
          <w:rFonts w:ascii="標楷體" w:eastAsia="標楷體" w:hAnsi="標楷體" w:hint="eastAsia"/>
          <w:b/>
          <w:sz w:val="28"/>
          <w:szCs w:val="28"/>
        </w:rPr>
        <w:t>國小教師組</w:t>
      </w:r>
      <w:r w:rsidRPr="00D975D8">
        <w:rPr>
          <w:rFonts w:ascii="標楷體" w:eastAsia="標楷體" w:hAnsi="標楷體"/>
          <w:b/>
          <w:sz w:val="28"/>
          <w:szCs w:val="28"/>
        </w:rPr>
        <w:t>)</w:t>
      </w:r>
      <w:r w:rsidRPr="00D975D8">
        <w:rPr>
          <w:rFonts w:ascii="標楷體" w:eastAsia="標楷體" w:hAnsi="標楷體" w:hint="eastAsia"/>
          <w:b/>
          <w:sz w:val="28"/>
          <w:szCs w:val="28"/>
        </w:rPr>
        <w:t>實施計畫</w:t>
      </w:r>
      <w:bookmarkEnd w:id="0"/>
    </w:p>
    <w:p w:rsidR="00056676" w:rsidRPr="00D975D8" w:rsidRDefault="00056676" w:rsidP="00056676">
      <w:pPr>
        <w:spacing w:line="2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056676" w:rsidRPr="00D975D8" w:rsidRDefault="00056676" w:rsidP="00056676">
      <w:pPr>
        <w:snapToGrid w:val="0"/>
        <w:spacing w:beforeLines="10" w:before="36" w:afterLines="10" w:after="36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壹、依據：</w:t>
      </w:r>
    </w:p>
    <w:p w:rsidR="00056676" w:rsidRPr="00D975D8" w:rsidRDefault="00056676" w:rsidP="00056676">
      <w:pPr>
        <w:snapToGrid w:val="0"/>
        <w:rPr>
          <w:rFonts w:ascii="標楷體" w:eastAsia="標楷體" w:hAnsi="標楷體"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 xml:space="preserve">  一、</w:t>
      </w:r>
      <w:r w:rsidRPr="00D975D8">
        <w:rPr>
          <w:rFonts w:ascii="標楷體" w:eastAsia="標楷體" w:hAnsi="標楷體" w:hint="eastAsia"/>
          <w:sz w:val="28"/>
          <w:szCs w:val="28"/>
        </w:rPr>
        <w:t>教育部國民及學前教育署補助辦理</w:t>
      </w:r>
      <w:r>
        <w:rPr>
          <w:rFonts w:ascii="標楷體" w:eastAsia="標楷體" w:hAnsi="標楷體" w:hint="eastAsia"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sz w:val="28"/>
          <w:szCs w:val="28"/>
        </w:rPr>
        <w:t>作業要點及注意事項。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 w:cs="標楷體"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二、108學年度</w:t>
      </w:r>
      <w:proofErr w:type="gramStart"/>
      <w:r w:rsidRPr="00D975D8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D975D8">
        <w:rPr>
          <w:rFonts w:ascii="標楷體" w:eastAsia="標楷體" w:hAnsi="標楷體" w:hint="eastAsia"/>
          <w:bCs/>
          <w:sz w:val="28"/>
          <w:szCs w:val="28"/>
        </w:rPr>
        <w:t>中市辦理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整體行政推動計畫。</w:t>
      </w:r>
    </w:p>
    <w:p w:rsidR="00056676" w:rsidRPr="00D975D8" w:rsidRDefault="00056676" w:rsidP="00056676">
      <w:pPr>
        <w:snapToGrid w:val="0"/>
        <w:spacing w:beforeLines="10" w:before="36" w:afterLines="10" w:after="36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貳、目的：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一、落實「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實施方案」實施理念及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策略。</w:t>
      </w:r>
    </w:p>
    <w:p w:rsidR="00056676" w:rsidRPr="00D975D8" w:rsidRDefault="00056676" w:rsidP="00056676">
      <w:pPr>
        <w:snapToGrid w:val="0"/>
        <w:ind w:leftChars="116" w:left="849" w:hanging="571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二、提升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實施方案教學人員規劃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課程、教材教法及自編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教材等專業知能。</w:t>
      </w:r>
    </w:p>
    <w:p w:rsidR="00056676" w:rsidRPr="00D975D8" w:rsidRDefault="00056676" w:rsidP="00056676">
      <w:pPr>
        <w:snapToGrid w:val="0"/>
        <w:spacing w:beforeLines="10" w:before="36" w:afterLines="10" w:after="36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參、辦理單位：</w:t>
      </w:r>
    </w:p>
    <w:p w:rsidR="00056676" w:rsidRPr="00D975D8" w:rsidRDefault="00056676" w:rsidP="00056676">
      <w:pPr>
        <w:snapToGrid w:val="0"/>
        <w:spacing w:beforeLines="20" w:before="72" w:afterLines="20" w:after="72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一、指導單位：教育部國民及學前教育署。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二、主辦單位：臺中市政府教育局。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三、承辦單位：臺中市大里區瑞城國小。</w:t>
      </w:r>
    </w:p>
    <w:p w:rsidR="00056676" w:rsidRPr="00F361CB" w:rsidRDefault="00056676" w:rsidP="00056676">
      <w:pPr>
        <w:snapToGrid w:val="0"/>
        <w:spacing w:beforeLines="10" w:before="36" w:afterLines="10" w:after="36"/>
        <w:ind w:left="1984" w:hangingChars="708" w:hanging="1984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肆、辦理期程：</w:t>
      </w:r>
      <w:r w:rsidRPr="00D975D8">
        <w:rPr>
          <w:rFonts w:ascii="標楷體" w:eastAsia="標楷體" w:hAnsi="標楷體"/>
          <w:bCs/>
          <w:sz w:val="28"/>
          <w:szCs w:val="28"/>
        </w:rPr>
        <w:t>10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8年8月2</w:t>
      </w:r>
      <w:r w:rsidR="00E57C50">
        <w:rPr>
          <w:rFonts w:ascii="標楷體" w:eastAsia="標楷體" w:hAnsi="標楷體" w:hint="eastAsia"/>
          <w:bCs/>
          <w:sz w:val="28"/>
          <w:szCs w:val="28"/>
        </w:rPr>
        <w:t>0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日(星期</w:t>
      </w:r>
      <w:r w:rsidR="00E57C50">
        <w:rPr>
          <w:rFonts w:ascii="標楷體" w:eastAsia="標楷體" w:hAnsi="標楷體" w:hint="eastAsia"/>
          <w:bCs/>
          <w:sz w:val="28"/>
          <w:szCs w:val="28"/>
        </w:rPr>
        <w:t>二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)。每場名額以</w:t>
      </w:r>
      <w:r w:rsidRPr="00D975D8">
        <w:rPr>
          <w:rFonts w:ascii="標楷體" w:eastAsia="標楷體" w:hAnsi="標楷體"/>
          <w:bCs/>
          <w:sz w:val="28"/>
          <w:szCs w:val="28"/>
        </w:rPr>
        <w:t>1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0</w:t>
      </w:r>
      <w:r w:rsidRPr="00D975D8">
        <w:rPr>
          <w:rFonts w:ascii="標楷體" w:eastAsia="標楷體" w:hAnsi="標楷體"/>
          <w:bCs/>
          <w:sz w:val="28"/>
          <w:szCs w:val="28"/>
        </w:rPr>
        <w:t>0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名為限，</w:t>
      </w:r>
      <w:r w:rsidRPr="00F361CB">
        <w:rPr>
          <w:rFonts w:ascii="標楷體" w:eastAsia="標楷體" w:hAnsi="標楷體" w:hint="eastAsia"/>
          <w:b/>
          <w:bCs/>
          <w:sz w:val="28"/>
          <w:szCs w:val="28"/>
        </w:rPr>
        <w:t>囿於場地限制，研習當天不開放現場報名。</w:t>
      </w:r>
    </w:p>
    <w:p w:rsidR="00324E33" w:rsidRPr="00324E33" w:rsidRDefault="00056676" w:rsidP="00324E33">
      <w:pPr>
        <w:snapToGrid w:val="0"/>
        <w:spacing w:beforeLines="10" w:before="36" w:afterLines="10" w:after="36"/>
        <w:ind w:left="1984" w:hangingChars="708" w:hanging="1984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伍、研習對象：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本市國小學校</w:t>
      </w: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具備教師證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但尚未接受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師資培訓之教師，主要對象為新進教師、曾參與攜手計畫時期師資培訓之教師。</w:t>
      </w:r>
      <w:r w:rsidR="00A46609" w:rsidRPr="00A46609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預計</w:t>
      </w:r>
      <w:r w:rsidR="00324E33" w:rsidRPr="00A46609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國語科招收30人；數學科招收30人：英文科招收40人。全國教師進修網報名時就已確定組別。日後無法更改組別。</w:t>
      </w:r>
    </w:p>
    <w:p w:rsidR="00056676" w:rsidRPr="00D975D8" w:rsidRDefault="00056676" w:rsidP="00056676">
      <w:pPr>
        <w:tabs>
          <w:tab w:val="left" w:pos="480"/>
        </w:tabs>
        <w:snapToGrid w:val="0"/>
        <w:spacing w:beforeLines="10" w:before="36" w:afterLines="10" w:after="36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陸、研習地點與課程內容：</w:t>
      </w:r>
      <w:r w:rsidRPr="00D975D8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一、研習地點：臺中市大里區瑞城國民小學。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二、課程內容：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872"/>
        <w:gridCol w:w="3443"/>
        <w:gridCol w:w="1042"/>
        <w:gridCol w:w="1926"/>
        <w:gridCol w:w="833"/>
      </w:tblGrid>
      <w:tr w:rsidR="00056676" w:rsidRPr="00D975D8" w:rsidTr="00A56913">
        <w:trPr>
          <w:trHeight w:val="482"/>
          <w:jc w:val="center"/>
        </w:trPr>
        <w:tc>
          <w:tcPr>
            <w:tcW w:w="10057" w:type="dxa"/>
            <w:gridSpan w:val="6"/>
            <w:shd w:val="clear" w:color="auto" w:fill="auto"/>
            <w:vAlign w:val="center"/>
          </w:tcPr>
          <w:p w:rsidR="00056676" w:rsidRPr="00A56913" w:rsidRDefault="00056676" w:rsidP="00A5691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FF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643FF3">
              <w:rPr>
                <w:rFonts w:ascii="標楷體" w:eastAsia="標楷體" w:hAnsi="標楷體" w:hint="eastAsia"/>
                <w:sz w:val="28"/>
                <w:szCs w:val="28"/>
              </w:rPr>
              <w:t>8年08月2</w:t>
            </w:r>
            <w:r w:rsidR="00474914" w:rsidRPr="00643F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43FF3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Pr="00643FF3">
              <w:rPr>
                <w:rFonts w:ascii="標楷體" w:eastAsia="標楷體" w:hAnsi="標楷體" w:hint="eastAsia"/>
                <w:bCs/>
                <w:sz w:val="28"/>
                <w:szCs w:val="28"/>
              </w:rPr>
              <w:t>星期</w:t>
            </w:r>
            <w:r w:rsidR="00474914" w:rsidRPr="00643FF3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  <w:r w:rsidRPr="00643FF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56676" w:rsidRPr="00D975D8" w:rsidTr="00157819">
        <w:trPr>
          <w:trHeight w:val="566"/>
          <w:jc w:val="center"/>
        </w:trPr>
        <w:tc>
          <w:tcPr>
            <w:tcW w:w="1941" w:type="dxa"/>
            <w:shd w:val="clear" w:color="auto" w:fill="F2F2F2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4315" w:type="dxa"/>
            <w:gridSpan w:val="2"/>
            <w:shd w:val="clear" w:color="auto" w:fill="F2F2F2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流程</w:t>
            </w:r>
          </w:p>
        </w:tc>
        <w:tc>
          <w:tcPr>
            <w:tcW w:w="2968" w:type="dxa"/>
            <w:gridSpan w:val="2"/>
            <w:shd w:val="clear" w:color="auto" w:fill="F2F2F2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主持人</w:t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</w:tr>
      <w:tr w:rsidR="00056676" w:rsidRPr="00D975D8" w:rsidTr="00157819">
        <w:trPr>
          <w:cantSplit/>
          <w:trHeight w:val="605"/>
          <w:jc w:val="center"/>
        </w:trPr>
        <w:tc>
          <w:tcPr>
            <w:tcW w:w="1941" w:type="dxa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08:00-08:10</w:t>
            </w:r>
          </w:p>
        </w:tc>
        <w:tc>
          <w:tcPr>
            <w:tcW w:w="4315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  <w:tc>
          <w:tcPr>
            <w:tcW w:w="2968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瑞城國小團隊</w:t>
            </w:r>
          </w:p>
        </w:tc>
        <w:tc>
          <w:tcPr>
            <w:tcW w:w="833" w:type="dxa"/>
            <w:vMerge w:val="restart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</w:t>
            </w:r>
          </w:p>
        </w:tc>
      </w:tr>
      <w:tr w:rsidR="00056676" w:rsidRPr="00D975D8" w:rsidTr="00157819">
        <w:trPr>
          <w:cantSplit/>
          <w:trHeight w:val="618"/>
          <w:jc w:val="center"/>
        </w:trPr>
        <w:tc>
          <w:tcPr>
            <w:tcW w:w="1941" w:type="dxa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8: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08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4315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開幕式</w:t>
            </w:r>
          </w:p>
        </w:tc>
        <w:tc>
          <w:tcPr>
            <w:tcW w:w="2968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教育局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56676" w:rsidRPr="00D975D8" w:rsidTr="00D41C31">
        <w:trPr>
          <w:cantSplit/>
          <w:trHeight w:val="856"/>
          <w:jc w:val="center"/>
        </w:trPr>
        <w:tc>
          <w:tcPr>
            <w:tcW w:w="1941" w:type="dxa"/>
            <w:vMerge w:val="restart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08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0-10: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分組分科研習</w:t>
            </w:r>
          </w:p>
        </w:tc>
        <w:tc>
          <w:tcPr>
            <w:tcW w:w="3443" w:type="dxa"/>
            <w:vMerge w:val="restart"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科技化評量系統測驗結果之教學應用</w:t>
            </w:r>
          </w:p>
        </w:tc>
        <w:tc>
          <w:tcPr>
            <w:tcW w:w="1042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926" w:type="dxa"/>
            <w:vAlign w:val="center"/>
          </w:tcPr>
          <w:p w:rsidR="00056676" w:rsidRDefault="00637604" w:rsidP="00056676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大忠國小</w:t>
            </w:r>
          </w:p>
          <w:p w:rsidR="00637604" w:rsidRPr="00D975D8" w:rsidRDefault="00637604" w:rsidP="00056676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張美雲校長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D41C31">
        <w:trPr>
          <w:cantSplit/>
          <w:trHeight w:val="898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926" w:type="dxa"/>
            <w:vAlign w:val="center"/>
          </w:tcPr>
          <w:p w:rsidR="00B7502D" w:rsidRDefault="00B7502D" w:rsidP="0015781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7C2C33">
              <w:rPr>
                <w:rFonts w:ascii="標楷體" w:eastAsia="標楷體" w:hAnsi="標楷體" w:hint="eastAsia"/>
                <w:sz w:val="28"/>
                <w:szCs w:val="28"/>
              </w:rPr>
              <w:t>永春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056676" w:rsidRPr="00D975D8" w:rsidRDefault="00B7502D" w:rsidP="0015781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魏麗枝主任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D41C31">
        <w:trPr>
          <w:cantSplit/>
          <w:trHeight w:val="898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1926" w:type="dxa"/>
            <w:vAlign w:val="center"/>
          </w:tcPr>
          <w:p w:rsidR="00056676" w:rsidRDefault="00D678D5" w:rsidP="0015781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瑞穗國小</w:t>
            </w:r>
          </w:p>
          <w:p w:rsidR="00D678D5" w:rsidRPr="00D975D8" w:rsidRDefault="00D678D5" w:rsidP="0015781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廖淑靜主任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157819">
        <w:trPr>
          <w:cantSplit/>
          <w:trHeight w:val="619"/>
          <w:jc w:val="center"/>
        </w:trPr>
        <w:tc>
          <w:tcPr>
            <w:tcW w:w="1941" w:type="dxa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10: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0-10: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4315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休息時間</w:t>
            </w:r>
          </w:p>
        </w:tc>
        <w:tc>
          <w:tcPr>
            <w:tcW w:w="2968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瑞城國小團隊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56676" w:rsidRPr="00D975D8" w:rsidTr="00D41C31">
        <w:trPr>
          <w:cantSplit/>
          <w:trHeight w:val="841"/>
          <w:jc w:val="center"/>
        </w:trPr>
        <w:tc>
          <w:tcPr>
            <w:tcW w:w="1941" w:type="dxa"/>
            <w:vMerge w:val="restart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10: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0-12: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分組分科研習</w:t>
            </w:r>
          </w:p>
        </w:tc>
        <w:tc>
          <w:tcPr>
            <w:tcW w:w="3443" w:type="dxa"/>
            <w:vMerge w:val="restart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學生學習扶助</w:t>
            </w: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課程規劃與教學設計</w:t>
            </w:r>
          </w:p>
        </w:tc>
        <w:tc>
          <w:tcPr>
            <w:tcW w:w="1042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926" w:type="dxa"/>
            <w:vAlign w:val="center"/>
          </w:tcPr>
          <w:p w:rsidR="00637604" w:rsidRDefault="00637604" w:rsidP="00637604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大忠國小</w:t>
            </w:r>
          </w:p>
          <w:p w:rsidR="00056676" w:rsidRPr="00D975D8" w:rsidRDefault="00637604" w:rsidP="00637604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張美雲校長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D41C31">
        <w:trPr>
          <w:cantSplit/>
          <w:trHeight w:val="744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926" w:type="dxa"/>
            <w:vAlign w:val="center"/>
          </w:tcPr>
          <w:p w:rsidR="00B7502D" w:rsidRDefault="00B7502D" w:rsidP="00B7502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C33">
              <w:rPr>
                <w:rFonts w:ascii="標楷體" w:eastAsia="標楷體" w:hAnsi="標楷體" w:hint="eastAsia"/>
                <w:sz w:val="28"/>
                <w:szCs w:val="28"/>
              </w:rPr>
              <w:t>永春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056676" w:rsidRPr="00D975D8" w:rsidRDefault="00B7502D" w:rsidP="00B7502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魏麗枝主任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D41C31">
        <w:trPr>
          <w:cantSplit/>
          <w:trHeight w:val="748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1926" w:type="dxa"/>
            <w:vAlign w:val="center"/>
          </w:tcPr>
          <w:p w:rsidR="00D678D5" w:rsidRDefault="00D678D5" w:rsidP="00D678D5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瑞穗國小</w:t>
            </w:r>
          </w:p>
          <w:p w:rsidR="00056676" w:rsidRPr="00D975D8" w:rsidRDefault="00D678D5" w:rsidP="00D678D5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廖淑靜主任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157819">
        <w:trPr>
          <w:cantSplit/>
          <w:trHeight w:val="561"/>
          <w:jc w:val="center"/>
        </w:trPr>
        <w:tc>
          <w:tcPr>
            <w:tcW w:w="1941" w:type="dxa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12: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0-1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4315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午餐、休息時間</w:t>
            </w:r>
          </w:p>
        </w:tc>
        <w:tc>
          <w:tcPr>
            <w:tcW w:w="2968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瑞城國小團隊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56676" w:rsidRPr="00D975D8" w:rsidTr="00D41C31">
        <w:trPr>
          <w:cantSplit/>
          <w:trHeight w:val="852"/>
          <w:jc w:val="center"/>
        </w:trPr>
        <w:tc>
          <w:tcPr>
            <w:tcW w:w="1941" w:type="dxa"/>
            <w:vMerge w:val="restart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17:40</w:t>
            </w:r>
          </w:p>
        </w:tc>
        <w:tc>
          <w:tcPr>
            <w:tcW w:w="872" w:type="dxa"/>
            <w:vMerge w:val="restart"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分組分科研習</w:t>
            </w:r>
          </w:p>
        </w:tc>
        <w:tc>
          <w:tcPr>
            <w:tcW w:w="3443" w:type="dxa"/>
            <w:vMerge w:val="restart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學生學習扶助</w:t>
            </w: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教材教法</w:t>
            </w:r>
          </w:p>
        </w:tc>
        <w:tc>
          <w:tcPr>
            <w:tcW w:w="1042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926" w:type="dxa"/>
            <w:vAlign w:val="center"/>
          </w:tcPr>
          <w:p w:rsidR="00637604" w:rsidRDefault="00637604" w:rsidP="00637604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大忠國小</w:t>
            </w:r>
          </w:p>
          <w:p w:rsidR="00056676" w:rsidRPr="00D975D8" w:rsidRDefault="00637604" w:rsidP="00637604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張美雲校長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D41C31">
        <w:trPr>
          <w:cantSplit/>
          <w:trHeight w:val="834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926" w:type="dxa"/>
            <w:vAlign w:val="center"/>
          </w:tcPr>
          <w:p w:rsidR="00B7502D" w:rsidRDefault="00B7502D" w:rsidP="00B7502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C33">
              <w:rPr>
                <w:rFonts w:ascii="標楷體" w:eastAsia="標楷體" w:hAnsi="標楷體" w:hint="eastAsia"/>
                <w:sz w:val="28"/>
                <w:szCs w:val="28"/>
              </w:rPr>
              <w:t>永春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056676" w:rsidRPr="00D975D8" w:rsidRDefault="00B7502D" w:rsidP="00B7502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魏麗枝主任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D41C31">
        <w:trPr>
          <w:cantSplit/>
          <w:trHeight w:val="844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1926" w:type="dxa"/>
            <w:vAlign w:val="center"/>
          </w:tcPr>
          <w:p w:rsidR="00056676" w:rsidRDefault="00D678D5" w:rsidP="0015781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清水國小</w:t>
            </w:r>
          </w:p>
          <w:p w:rsidR="00D678D5" w:rsidRPr="00D975D8" w:rsidRDefault="00D678D5" w:rsidP="0015781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黃杏媚主任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157819">
        <w:trPr>
          <w:cantSplit/>
          <w:trHeight w:val="735"/>
          <w:jc w:val="center"/>
        </w:trPr>
        <w:tc>
          <w:tcPr>
            <w:tcW w:w="1941" w:type="dxa"/>
            <w:tcBorders>
              <w:top w:val="nil"/>
            </w:tcBorders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17: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4315" w:type="dxa"/>
            <w:gridSpan w:val="2"/>
            <w:tcBorders>
              <w:top w:val="nil"/>
            </w:tcBorders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歡喜賦歸</w:t>
            </w:r>
          </w:p>
        </w:tc>
        <w:tc>
          <w:tcPr>
            <w:tcW w:w="2968" w:type="dxa"/>
            <w:gridSpan w:val="2"/>
            <w:tcBorders>
              <w:top w:val="nil"/>
            </w:tcBorders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瑞城國小團隊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bookmarkStart w:id="1" w:name="_GoBack"/>
      <w:bookmarkEnd w:id="1"/>
    </w:p>
    <w:p w:rsidR="00056676" w:rsidRPr="00D975D8" w:rsidRDefault="00056676" w:rsidP="00056676">
      <w:pPr>
        <w:snapToGrid w:val="0"/>
        <w:ind w:leftChars="128" w:left="2225" w:hangingChars="685" w:hanging="1918"/>
        <w:rPr>
          <w:rFonts w:ascii="標楷體" w:eastAsia="標楷體" w:hAnsi="標楷體"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三、報名方式：報名請各於</w:t>
      </w:r>
      <w:r w:rsidRPr="00D975D8">
        <w:rPr>
          <w:rFonts w:ascii="標楷體" w:eastAsia="標楷體" w:hAnsi="標楷體"/>
          <w:bCs/>
          <w:sz w:val="28"/>
          <w:szCs w:val="28"/>
        </w:rPr>
        <w:t>10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8年8月</w:t>
      </w:r>
      <w:r w:rsidR="00F361CB">
        <w:rPr>
          <w:rFonts w:ascii="標楷體" w:eastAsia="標楷體" w:hAnsi="標楷體" w:hint="eastAsia"/>
          <w:bCs/>
          <w:sz w:val="28"/>
          <w:szCs w:val="28"/>
        </w:rPr>
        <w:t>9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日</w:t>
      </w:r>
      <w:r w:rsidRPr="00D975D8">
        <w:rPr>
          <w:rFonts w:ascii="標楷體" w:eastAsia="標楷體" w:hAnsi="標楷體" w:hint="eastAsia"/>
          <w:sz w:val="28"/>
          <w:szCs w:val="28"/>
        </w:rPr>
        <w:t>(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星期</w:t>
      </w:r>
      <w:r w:rsidR="00F361CB">
        <w:rPr>
          <w:rFonts w:ascii="標楷體" w:eastAsia="標楷體" w:hAnsi="標楷體" w:hint="eastAsia"/>
          <w:bCs/>
          <w:sz w:val="28"/>
          <w:szCs w:val="28"/>
        </w:rPr>
        <w:t>五</w:t>
      </w:r>
      <w:r w:rsidRPr="00D975D8">
        <w:rPr>
          <w:rFonts w:ascii="標楷體" w:eastAsia="標楷體" w:hAnsi="標楷體" w:hint="eastAsia"/>
          <w:sz w:val="28"/>
          <w:szCs w:val="28"/>
        </w:rPr>
        <w:t>)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17時前至全國教師在職進修中心網</w:t>
      </w:r>
      <w:r w:rsidRPr="00D975D8">
        <w:rPr>
          <w:rFonts w:ascii="標楷體" w:eastAsia="標楷體" w:hAnsi="標楷體"/>
          <w:bCs/>
          <w:sz w:val="28"/>
          <w:szCs w:val="28"/>
        </w:rPr>
        <w:t>/</w:t>
      </w:r>
      <w:proofErr w:type="gramStart"/>
      <w:r w:rsidRPr="00D975D8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D975D8">
        <w:rPr>
          <w:rFonts w:ascii="標楷體" w:eastAsia="標楷體" w:hAnsi="標楷體" w:hint="eastAsia"/>
          <w:bCs/>
          <w:sz w:val="28"/>
          <w:szCs w:val="28"/>
        </w:rPr>
        <w:t>中市</w:t>
      </w:r>
      <w:r w:rsidRPr="00D975D8">
        <w:rPr>
          <w:rFonts w:ascii="標楷體" w:eastAsia="標楷體" w:hAnsi="標楷體"/>
          <w:bCs/>
          <w:sz w:val="28"/>
          <w:szCs w:val="28"/>
        </w:rPr>
        <w:t>/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大里區</w:t>
      </w:r>
      <w:r w:rsidRPr="00D975D8">
        <w:rPr>
          <w:rFonts w:ascii="標楷體" w:eastAsia="標楷體" w:hAnsi="標楷體"/>
          <w:bCs/>
          <w:sz w:val="28"/>
          <w:szCs w:val="28"/>
        </w:rPr>
        <w:t>/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瑞城國小</w:t>
      </w:r>
      <w:r w:rsidRPr="00D975D8">
        <w:rPr>
          <w:rFonts w:ascii="標楷體" w:eastAsia="標楷體" w:hAnsi="標楷體"/>
          <w:bCs/>
          <w:sz w:val="28"/>
          <w:szCs w:val="28"/>
        </w:rPr>
        <w:t>/10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8學年度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實施方案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師資培訓項下報名。</w:t>
      </w:r>
      <w:r w:rsidR="00F361CB">
        <w:rPr>
          <w:rFonts w:ascii="標楷體" w:eastAsia="標楷體" w:hAnsi="標楷體" w:hint="eastAsia"/>
          <w:bCs/>
          <w:sz w:val="28"/>
          <w:szCs w:val="28"/>
        </w:rPr>
        <w:t>如報名人數達額滿，報名系統會提前關閉，結束報名。</w:t>
      </w:r>
    </w:p>
    <w:p w:rsidR="00056676" w:rsidRPr="00D975D8" w:rsidRDefault="00056676" w:rsidP="00056676">
      <w:pPr>
        <w:tabs>
          <w:tab w:val="left" w:pos="480"/>
        </w:tabs>
        <w:snapToGrid w:val="0"/>
        <w:spacing w:beforeLines="20" w:before="72" w:afterLines="20" w:after="72"/>
        <w:ind w:left="1144" w:hangingChars="408" w:hanging="1144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柒</w:t>
      </w:r>
      <w:proofErr w:type="gramEnd"/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、預期成效：</w:t>
      </w:r>
    </w:p>
    <w:p w:rsidR="00056676" w:rsidRPr="00D975D8" w:rsidRDefault="00056676" w:rsidP="00056676">
      <w:pPr>
        <w:snapToGrid w:val="0"/>
        <w:spacing w:line="340" w:lineRule="exact"/>
        <w:ind w:left="851" w:hanging="567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一、說明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策略及內涵，</w:t>
      </w:r>
      <w:proofErr w:type="gramStart"/>
      <w:r w:rsidRPr="00D975D8">
        <w:rPr>
          <w:rFonts w:ascii="標楷體" w:eastAsia="標楷體" w:hAnsi="標楷體" w:hint="eastAsia"/>
          <w:bCs/>
          <w:sz w:val="28"/>
          <w:szCs w:val="28"/>
        </w:rPr>
        <w:t>俾</w:t>
      </w:r>
      <w:proofErr w:type="gramEnd"/>
      <w:r w:rsidRPr="00D975D8">
        <w:rPr>
          <w:rFonts w:ascii="標楷體" w:eastAsia="標楷體" w:hAnsi="標楷體" w:hint="eastAsia"/>
          <w:bCs/>
          <w:sz w:val="28"/>
          <w:szCs w:val="28"/>
        </w:rPr>
        <w:t>使教學人員掌握計畫精髓，協助積極推動本計畫。</w:t>
      </w:r>
    </w:p>
    <w:p w:rsidR="00056676" w:rsidRPr="00D975D8" w:rsidRDefault="00056676" w:rsidP="00056676">
      <w:pPr>
        <w:snapToGrid w:val="0"/>
        <w:spacing w:line="340" w:lineRule="exact"/>
        <w:ind w:left="851" w:hanging="567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二、增進教學人員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專業指導能力。</w:t>
      </w:r>
    </w:p>
    <w:p w:rsidR="00056676" w:rsidRPr="00D975D8" w:rsidRDefault="00056676" w:rsidP="00056676">
      <w:pPr>
        <w:tabs>
          <w:tab w:val="left" w:pos="480"/>
        </w:tabs>
        <w:snapToGrid w:val="0"/>
        <w:spacing w:line="340" w:lineRule="exact"/>
        <w:ind w:left="851" w:hanging="567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三、強化教學人員規劃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課程、教材教法及自編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教材等專業知能。</w:t>
      </w:r>
    </w:p>
    <w:p w:rsidR="00056676" w:rsidRPr="00D975D8" w:rsidRDefault="00056676" w:rsidP="00056676">
      <w:pPr>
        <w:snapToGrid w:val="0"/>
        <w:spacing w:beforeLines="20" w:before="72" w:afterLines="20" w:after="72"/>
        <w:ind w:left="1144" w:hangingChars="408" w:hanging="1144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捌</w:t>
      </w:r>
      <w:r w:rsidRPr="00D975D8">
        <w:rPr>
          <w:rFonts w:ascii="標楷體" w:eastAsia="標楷體" w:hAnsi="標楷體" w:hint="eastAsia"/>
          <w:b/>
          <w:sz w:val="28"/>
          <w:szCs w:val="28"/>
        </w:rPr>
        <w:t>、</w:t>
      </w: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成效評估策略：</w:t>
      </w:r>
    </w:p>
    <w:p w:rsidR="00056676" w:rsidRPr="00D975D8" w:rsidRDefault="00056676" w:rsidP="00056676">
      <w:pPr>
        <w:snapToGrid w:val="0"/>
        <w:spacing w:line="34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D975D8">
        <w:rPr>
          <w:rFonts w:ascii="標楷體" w:eastAsia="標楷體" w:hAnsi="標楷體" w:hint="eastAsia"/>
          <w:sz w:val="28"/>
          <w:szCs w:val="28"/>
        </w:rPr>
        <w:t>一、研習結束後，請參與人員填寫回饋單，瞭解各校對於研習內容的想法，回收彙整統計後，列為改善參考意見。</w:t>
      </w:r>
    </w:p>
    <w:p w:rsidR="00056676" w:rsidRPr="00D975D8" w:rsidRDefault="00056676" w:rsidP="00056676">
      <w:pPr>
        <w:snapToGrid w:val="0"/>
        <w:spacing w:line="340" w:lineRule="exact"/>
        <w:ind w:left="851" w:hanging="567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sz w:val="28"/>
          <w:szCs w:val="28"/>
        </w:rPr>
        <w:t>二、由承辦學校提供通過培訓者名單，登錄於本市</w:t>
      </w:r>
      <w:r>
        <w:rPr>
          <w:rFonts w:ascii="標楷體" w:eastAsia="標楷體" w:hAnsi="標楷體" w:hint="eastAsia"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sz w:val="28"/>
          <w:szCs w:val="28"/>
        </w:rPr>
        <w:t>人才資料庫，以瞭解培訓師資情況。</w:t>
      </w:r>
    </w:p>
    <w:p w:rsidR="00056676" w:rsidRPr="00D975D8" w:rsidRDefault="00056676" w:rsidP="00056676">
      <w:pPr>
        <w:snapToGrid w:val="0"/>
        <w:spacing w:beforeLines="20" w:before="72" w:afterLines="20" w:after="72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玖、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研習活動辦理完成，相關工作人員依</w:t>
      </w:r>
      <w:proofErr w:type="gramStart"/>
      <w:r w:rsidRPr="00D975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975D8">
        <w:rPr>
          <w:rFonts w:ascii="標楷體" w:eastAsia="標楷體" w:hAnsi="標楷體" w:hint="eastAsia"/>
          <w:sz w:val="28"/>
          <w:szCs w:val="28"/>
        </w:rPr>
        <w:t>中市立國民中小學及幼兒園教育人員獎勵要點予以敘獎。</w:t>
      </w:r>
    </w:p>
    <w:p w:rsidR="00772E02" w:rsidRDefault="00056676" w:rsidP="00643FF3">
      <w:pPr>
        <w:snapToGrid w:val="0"/>
        <w:spacing w:beforeLines="20" w:before="72" w:afterLines="20" w:after="72"/>
        <w:ind w:left="1144" w:hangingChars="408" w:hanging="1144"/>
        <w:rPr>
          <w:rFonts w:ascii="標楷體" w:eastAsia="標楷體" w:hAnsi="標楷體"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拾、</w:t>
      </w:r>
      <w:r w:rsidRPr="00D975D8">
        <w:rPr>
          <w:rFonts w:ascii="標楷體" w:eastAsia="標楷體" w:hAnsi="標楷體" w:hint="eastAsia"/>
          <w:sz w:val="28"/>
          <w:szCs w:val="28"/>
        </w:rPr>
        <w:t>本實施計畫經報教育局核定後實施，修正時亦同。</w:t>
      </w:r>
    </w:p>
    <w:p w:rsidR="0066123E" w:rsidRPr="0066123E" w:rsidRDefault="0066123E" w:rsidP="001A3C57">
      <w:pPr>
        <w:snapToGrid w:val="0"/>
        <w:spacing w:beforeLines="20" w:before="72" w:afterLines="20" w:after="72"/>
      </w:pPr>
    </w:p>
    <w:sectPr w:rsidR="0066123E" w:rsidRPr="0066123E" w:rsidSect="00474914">
      <w:pgSz w:w="11906" w:h="16838"/>
      <w:pgMar w:top="1418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1D" w:rsidRDefault="0050261D" w:rsidP="00B7502D">
      <w:r>
        <w:separator/>
      </w:r>
    </w:p>
  </w:endnote>
  <w:endnote w:type="continuationSeparator" w:id="0">
    <w:p w:rsidR="0050261D" w:rsidRDefault="0050261D" w:rsidP="00B7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1D" w:rsidRDefault="0050261D" w:rsidP="00B7502D">
      <w:r>
        <w:separator/>
      </w:r>
    </w:p>
  </w:footnote>
  <w:footnote w:type="continuationSeparator" w:id="0">
    <w:p w:rsidR="0050261D" w:rsidRDefault="0050261D" w:rsidP="00B7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6"/>
    <w:rsid w:val="00035475"/>
    <w:rsid w:val="00056676"/>
    <w:rsid w:val="000B6E72"/>
    <w:rsid w:val="000F0291"/>
    <w:rsid w:val="00114215"/>
    <w:rsid w:val="001A3C57"/>
    <w:rsid w:val="0020475E"/>
    <w:rsid w:val="00324E33"/>
    <w:rsid w:val="003D28EC"/>
    <w:rsid w:val="00474914"/>
    <w:rsid w:val="00477B30"/>
    <w:rsid w:val="004F03F5"/>
    <w:rsid w:val="0050261D"/>
    <w:rsid w:val="00637604"/>
    <w:rsid w:val="00643FF3"/>
    <w:rsid w:val="0066123E"/>
    <w:rsid w:val="0073161C"/>
    <w:rsid w:val="00A2164C"/>
    <w:rsid w:val="00A46609"/>
    <w:rsid w:val="00A56913"/>
    <w:rsid w:val="00AF2CFC"/>
    <w:rsid w:val="00B51853"/>
    <w:rsid w:val="00B7502D"/>
    <w:rsid w:val="00D076EC"/>
    <w:rsid w:val="00D41C31"/>
    <w:rsid w:val="00D678D5"/>
    <w:rsid w:val="00D942E1"/>
    <w:rsid w:val="00DF35F6"/>
    <w:rsid w:val="00E471AB"/>
    <w:rsid w:val="00E55E17"/>
    <w:rsid w:val="00E57C50"/>
    <w:rsid w:val="00E86247"/>
    <w:rsid w:val="00F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502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502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502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502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莊家岱</cp:lastModifiedBy>
  <cp:revision>2</cp:revision>
  <cp:lastPrinted>2019-07-11T02:23:00Z</cp:lastPrinted>
  <dcterms:created xsi:type="dcterms:W3CDTF">2019-07-11T02:23:00Z</dcterms:created>
  <dcterms:modified xsi:type="dcterms:W3CDTF">2019-07-11T02:23:00Z</dcterms:modified>
</cp:coreProperties>
</file>