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4FCD8" w14:textId="712D56B4" w:rsidR="0026271C" w:rsidRPr="0026271C" w:rsidRDefault="00B74F38" w:rsidP="0026271C">
      <w:pPr>
        <w:jc w:val="center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台中市清水區</w:t>
      </w:r>
      <w:r w:rsidR="0026271C"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清水國小節電計畫</w:t>
      </w:r>
    </w:p>
    <w:p w14:paraId="7926A31C" w14:textId="5A4C6075" w:rsidR="0026271C" w:rsidRPr="0026271C" w:rsidRDefault="0026271C" w:rsidP="0026271C">
      <w:pPr>
        <w:pStyle w:val="a9"/>
        <w:numPr>
          <w:ilvl w:val="0"/>
          <w:numId w:val="1"/>
        </w:numPr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依據：依據「政府機關及學校全面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節能減碳措施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」與能源管理</w:t>
      </w:r>
    </w:p>
    <w:p w14:paraId="213481DF" w14:textId="77777777" w:rsidR="0026271C" w:rsidRDefault="0026271C" w:rsidP="0026271C">
      <w:pPr>
        <w:pStyle w:val="a9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法第九條及能源管理法施行細則第七條之規定辦理。</w:t>
      </w:r>
    </w:p>
    <w:p w14:paraId="70A6737F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貳、目的：藉由推動節約能源措施，落實全校師生節約能源行動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參、實施對象：本校全體教職員工生。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肆、節能目標：全校每年用電量以維持或負成長為目的。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伍、實施事項：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一、建立分層管理制度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：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成立節約能源推動小組，由校長擔任召集人，並由事務組長擔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</w:p>
    <w:p w14:paraId="67F1FE92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任能源管理人員辦理節能業務之推動。每年擬定節約能源目標</w:t>
      </w:r>
    </w:p>
    <w:p w14:paraId="719E73F0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與工作計畫。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二、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採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行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節能減碳措施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一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)購置及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汰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換設備：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1、應優先採購符合節能標章、環保標章或省水標章之用電、用水設備、器具及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</w:p>
    <w:p w14:paraId="3EE48107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其他事務性產品。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2、配合公務機關財產使用年限規定，優先採用變頻式冷氣機。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3、裝有重要用電設備如照明系統、電梯等，進行節約用電監控管理。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4、照明燈具新設或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汰換時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，採用高效率照明燈具及電子式安定器。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5、無法利用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晝光且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非長時間使用之廁所等場所，使用照明自動點滅裝置。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6、用水設備新設或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汰換時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，應採用節約用水之省水龍頭或省水馬桶。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(二)節約用電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1、衣著：夏季上班時除特定場所外，不穿西裝、不打領帶，改穿輕便衣服。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2、空調：活動中心之冷氣使用:平時兒童朝會時間不開，如遇有需較長的活動方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</w:p>
    <w:p w14:paraId="0EC5603B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  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可開啟。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3、照明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（1）依國家標準（CNS）所訂定之照度標準，檢討各環境照度是否適當，並作改</w:t>
      </w:r>
    </w:p>
    <w:p w14:paraId="64BFE09D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進。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（2）走廊通道等照明需求較低之場所，在無安全顧慮下可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設定隔盞開燈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、減少燈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</w:t>
      </w:r>
    </w:p>
    <w:p w14:paraId="2893649C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 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管數或採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自動人員感測自動點滅。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（3）採取責任分區及個人責任區管理，隨手關閉不需使用之照明。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（4）適度調整燈具位置至辦公桌面正上方，並增設獨立電源開關；於開會、公出</w:t>
      </w:r>
    </w:p>
    <w:p w14:paraId="5F1AA05B" w14:textId="77777777" w:rsidR="0026271C" w:rsidRDefault="0026271C" w:rsidP="0026271C">
      <w:pPr>
        <w:spacing w:after="0" w:line="240" w:lineRule="auto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等長時間離席時，可關閉電源。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（5）依落塵量多寡定期清潔燈具；依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燈管光衰及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黑化程度更換燈管，以維持應有</w:t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     </w:t>
      </w:r>
    </w:p>
    <w:p w14:paraId="4D3D2D96" w14:textId="77777777" w:rsidR="0026271C" w:rsidRDefault="0026271C" w:rsidP="0026271C">
      <w:pPr>
        <w:spacing w:after="0" w:line="240" w:lineRule="auto"/>
        <w:ind w:leftChars="100" w:left="240" w:firstLineChars="300" w:firstLine="84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亮度。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（6）中午休息時間，關閉不必要之基礎照明。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4、電梯：推行步行運動，3樓以下不搭乘電梯。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 xml:space="preserve"> </w:t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5、電力系統：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（1）變壓器放置場所需有良好通風，必要時加裝風扇或空調散熱。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（2）與台電公司訂有契約容量之執行單位，應定期檢討合理契約容量值與功率因</w:t>
      </w:r>
    </w:p>
    <w:p w14:paraId="75436BF0" w14:textId="77777777" w:rsidR="0026271C" w:rsidRDefault="0026271C" w:rsidP="0026271C">
      <w:pPr>
        <w:spacing w:after="0" w:line="240" w:lineRule="auto"/>
        <w:ind w:leftChars="300" w:left="720" w:firstLineChars="100" w:firstLine="28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數，以減少電費支出。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lastRenderedPageBreak/>
        <w:t>7、事務機器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（1）設定節電模式，當停止運作5~10分鐘後，即可自動進入低耗能休眠狀</w:t>
      </w:r>
    </w:p>
    <w:p w14:paraId="6D388F2D" w14:textId="77777777" w:rsidR="0026271C" w:rsidRDefault="0026271C" w:rsidP="0026271C">
      <w:pPr>
        <w:spacing w:after="0" w:line="240" w:lineRule="auto"/>
        <w:ind w:leftChars="300" w:left="720" w:firstLineChars="300" w:firstLine="84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態。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（2）中午休息時間，關閉不必要之辦公事務機器。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（3）長時間不使用之用電器具或設備，應關閉主機及周邊設備電源，以減少待</w:t>
      </w:r>
    </w:p>
    <w:p w14:paraId="052A179F" w14:textId="77777777" w:rsidR="0026271C" w:rsidRDefault="0026271C" w:rsidP="0026271C">
      <w:pPr>
        <w:spacing w:after="0" w:line="240" w:lineRule="auto"/>
        <w:ind w:leftChars="300" w:left="720" w:firstLineChars="300" w:firstLine="840"/>
        <w:rPr>
          <w:rFonts w:ascii="標楷體" w:eastAsia="標楷體" w:hAnsi="標楷體"/>
          <w:color w:val="444444"/>
          <w:sz w:val="28"/>
          <w:szCs w:val="28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機電力之浪費。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（4）飲水機及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開飲機應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裝設定時控制器或手動控制使用時間。</w:t>
      </w:r>
    </w:p>
    <w:p w14:paraId="49599E33" w14:textId="77777777" w:rsidR="0026271C" w:rsidRDefault="0026271C" w:rsidP="0026271C">
      <w:pPr>
        <w:spacing w:after="0" w:line="240" w:lineRule="auto"/>
        <w:ind w:leftChars="100" w:left="800" w:hangingChars="200" w:hanging="560"/>
        <w:rPr>
          <w:rFonts w:ascii="標楷體" w:eastAsia="標楷體" w:hAnsi="標楷體"/>
          <w:color w:val="444444"/>
          <w:sz w:val="28"/>
          <w:szCs w:val="28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(三)其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他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1、新建、增建、改建或修建之建築工程，應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採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節約能源之規劃設計。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2、公文及紙張使用儘量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採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雙面列印或反面重複利用。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3、開會應自備環保杯，不用紙杯；用餐應自備環保筷，不用免洗筷。</w:t>
      </w:r>
    </w:p>
    <w:p w14:paraId="0C05B3D5" w14:textId="77777777" w:rsidR="0026271C" w:rsidRDefault="0026271C" w:rsidP="0026271C">
      <w:pPr>
        <w:spacing w:after="0" w:line="240" w:lineRule="auto"/>
        <w:ind w:leftChars="100" w:left="800" w:hangingChars="200" w:hanging="560"/>
        <w:rPr>
          <w:rFonts w:ascii="標楷體" w:eastAsia="標楷體" w:hAnsi="標楷體"/>
          <w:color w:val="444444"/>
          <w:sz w:val="28"/>
          <w:szCs w:val="28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三、紀錄及查核</w:t>
      </w:r>
    </w:p>
    <w:p w14:paraId="2E6295B5" w14:textId="77777777" w:rsidR="0026271C" w:rsidRDefault="0026271C" w:rsidP="0026271C">
      <w:pPr>
        <w:spacing w:after="0" w:line="240" w:lineRule="auto"/>
        <w:ind w:leftChars="126" w:left="302" w:firstLineChars="100" w:firstLine="28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一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)總務處應定期抄錄各電表用電量及量測各責任區域空調溫度，並進行必要之</w:t>
      </w:r>
    </w:p>
    <w:p w14:paraId="2987D9AD" w14:textId="77777777" w:rsidR="0026271C" w:rsidRDefault="0026271C" w:rsidP="0026271C">
      <w:pPr>
        <w:spacing w:after="0" w:line="240" w:lineRule="auto"/>
        <w:ind w:leftChars="226" w:left="542" w:firstLineChars="200" w:firstLine="560"/>
        <w:rPr>
          <w:rFonts w:ascii="標楷體" w:eastAsia="標楷體" w:hAnsi="標楷體"/>
          <w:color w:val="444444"/>
          <w:sz w:val="28"/>
          <w:szCs w:val="28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改善。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(二) 總務處應定期進行設備系統維護檢查。</w:t>
      </w:r>
    </w:p>
    <w:p w14:paraId="061B10A6" w14:textId="77777777" w:rsidR="0026271C" w:rsidRDefault="0026271C" w:rsidP="0026271C">
      <w:pPr>
        <w:spacing w:after="0" w:line="240" w:lineRule="auto"/>
        <w:ind w:leftChars="100" w:left="520" w:hangingChars="100" w:hanging="28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四、自我評量及檢討改善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</w:t>
      </w:r>
      <w:proofErr w:type="gramStart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一</w:t>
      </w:r>
      <w:proofErr w:type="gramEnd"/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)本年度用電量應與去年度同期之用電量作比較，無特殊理由，用電不得成</w:t>
      </w:r>
    </w:p>
    <w:p w14:paraId="1124E7A2" w14:textId="77777777" w:rsidR="0026271C" w:rsidRDefault="0026271C" w:rsidP="0026271C">
      <w:pPr>
        <w:spacing w:after="0" w:line="240" w:lineRule="auto"/>
        <w:ind w:leftChars="200" w:left="480" w:firstLineChars="200" w:firstLine="560"/>
        <w:rPr>
          <w:rFonts w:ascii="標楷體" w:eastAsia="標楷體" w:hAnsi="標楷體"/>
          <w:color w:val="444444"/>
          <w:sz w:val="28"/>
          <w:szCs w:val="28"/>
        </w:rPr>
      </w:pP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長。</w:t>
      </w:r>
      <w:r w:rsidRPr="0026271C">
        <w:rPr>
          <w:rFonts w:ascii="標楷體" w:eastAsia="標楷體" w:hAnsi="標楷體" w:hint="eastAsia"/>
          <w:color w:val="444444"/>
          <w:sz w:val="28"/>
          <w:szCs w:val="28"/>
        </w:rPr>
        <w:br/>
      </w:r>
      <w:r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(二)定期檢討內部各單位責任區域之執行情形。</w:t>
      </w:r>
    </w:p>
    <w:p w14:paraId="094CD876" w14:textId="3CAB9FFE" w:rsidR="0096365F" w:rsidRPr="0026271C" w:rsidRDefault="004440FE" w:rsidP="0026271C">
      <w:pPr>
        <w:spacing w:after="0" w:line="240" w:lineRule="auto"/>
        <w:ind w:firstLineChars="100" w:firstLine="280"/>
        <w:rPr>
          <w:rFonts w:ascii="標楷體" w:eastAsia="標楷體" w:hAnsi="標楷體"/>
          <w:color w:val="444444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陸</w:t>
      </w:r>
      <w:r w:rsidR="0026271C" w:rsidRPr="0026271C">
        <w:rPr>
          <w:rFonts w:ascii="標楷體" w:eastAsia="標楷體" w:hAnsi="標楷體" w:hint="eastAsia"/>
          <w:color w:val="444444"/>
          <w:sz w:val="28"/>
          <w:szCs w:val="28"/>
          <w:shd w:val="clear" w:color="auto" w:fill="FFFFFF"/>
        </w:rPr>
        <w:t>、本計畫陳校長核可後實施，修正時亦同。</w:t>
      </w:r>
    </w:p>
    <w:sectPr w:rsidR="0096365F" w:rsidRPr="0026271C" w:rsidSect="0026271C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9E0A" w14:textId="77777777" w:rsidR="00C245B7" w:rsidRDefault="00C245B7" w:rsidP="00B74F38">
      <w:pPr>
        <w:spacing w:after="0" w:line="240" w:lineRule="auto"/>
      </w:pPr>
      <w:r>
        <w:separator/>
      </w:r>
    </w:p>
  </w:endnote>
  <w:endnote w:type="continuationSeparator" w:id="0">
    <w:p w14:paraId="15ADA340" w14:textId="77777777" w:rsidR="00C245B7" w:rsidRDefault="00C245B7" w:rsidP="00B74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D6B83" w14:textId="77777777" w:rsidR="00C245B7" w:rsidRDefault="00C245B7" w:rsidP="00B74F38">
      <w:pPr>
        <w:spacing w:after="0" w:line="240" w:lineRule="auto"/>
      </w:pPr>
      <w:r>
        <w:separator/>
      </w:r>
    </w:p>
  </w:footnote>
  <w:footnote w:type="continuationSeparator" w:id="0">
    <w:p w14:paraId="7E93F53A" w14:textId="77777777" w:rsidR="00C245B7" w:rsidRDefault="00C245B7" w:rsidP="00B74F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C6183"/>
    <w:multiLevelType w:val="hybridMultilevel"/>
    <w:tmpl w:val="88FED974"/>
    <w:lvl w:ilvl="0" w:tplc="04E040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98445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1C"/>
    <w:rsid w:val="0026271C"/>
    <w:rsid w:val="004440FE"/>
    <w:rsid w:val="00912B15"/>
    <w:rsid w:val="0096365F"/>
    <w:rsid w:val="00B74F38"/>
    <w:rsid w:val="00C245B7"/>
    <w:rsid w:val="00DF78A4"/>
    <w:rsid w:val="00EC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988DA"/>
  <w15:chartTrackingRefBased/>
  <w15:docId w15:val="{2E05DBC6-0C40-41D7-9927-1372DEB41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71C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71C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7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71C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71C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71C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71C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27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627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6271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627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6271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6271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6271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6271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6271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62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62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62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62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7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7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627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6271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74F38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74F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74F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</Words>
  <Characters>1211</Characters>
  <Application>Microsoft Office Word</Application>
  <DocSecurity>0</DocSecurity>
  <Lines>10</Lines>
  <Paragraphs>2</Paragraphs>
  <ScaleCrop>false</ScaleCrop>
  <Company>Taichung City Education Network Center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2026-02-26T06:41:00Z</dcterms:created>
  <dcterms:modified xsi:type="dcterms:W3CDTF">2026-02-26T06:56:00Z</dcterms:modified>
</cp:coreProperties>
</file>